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Forskningen bakom explicit undervisning</w:t>
      </w:r>
    </w:p>
    <w:p>
      <w:pPr>
        <w:spacing w:after="150" w:line="246"/>
      </w:pPr>
      <w:r>
        <w:rPr>
          <w:color w:val="555555"/>
          <w:sz w:val="19"/>
          <w:szCs w:val="19"/>
        </w:rPr>
        <w:t xml:space="preserve">15 källor, valda 2026-10-30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Oklart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ztdg382wha74ilykr_lvy">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5lbyspav7rncy5fgpsmvf">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vdwxhiepu0dxudbbexxm6">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Program med manus och små steg ger stor effekt i många studier, mest i F–‍3 (Stockard m.fl., 2018). I matematik är effekten måttlig för elever som behöver stöd och undervisas i små grupper (Fuchs m.fl., 2021). I läsning är den måttlig i tre studier av Engelmanns program med oberoende prov (Slavin m.fl., 2010). I skrivning ger strategiundervisning efter SRSD ofta stor effekt i små studier med forskarnas prov (Graham, Bollinger m.fl., 2012) och en mindre med oberoende prov (Slavin m.fl., 2019). Ju strängare urvalet är, desto mindre blir talen.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Fuchs, L. S. m.fl. (2021). Assisting Students Struggling with Mathematics: Intervention in the Elementary Grades. Institute of Education Sciences.</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0,31 i 14 studier, små grupper, elever som behöver stöd</w:t>
            </w:r>
          </w:p>
          <w:p>
            <w:pPr>
              <w:keepNext w:val="false"/>
              <w:spacing w:after="20" w:line="240"/>
            </w:pPr>
            <w:hyperlink w:history="1" r:id="rId6rd24rhnm4zfwoipxekuc">
              <w:r>
                <w:rPr>
                  <w:color w:val="0563C1"/>
                  <w:sz w:val="15"/>
                  <w:szCs w:val="15"/>
                  <w:u w:val="single" w:color="0563C1"/>
                </w:rPr>
                <w:t xml:space="preserve">ERIC ED611018</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Graham, S., Bollinger, A., Booth Olson, C. m.fl. (2012). Teaching Elementary School Students to Be Effective Writers. Institute of Education Sciences.</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0,87–‍2,77 på kvaliteten i fyra av sju studier av SRSD, två säkra</w:t>
            </w:r>
          </w:p>
          <w:p>
            <w:pPr>
              <w:keepNext w:val="false"/>
              <w:spacing w:after="20" w:line="240"/>
            </w:pPr>
            <w:hyperlink w:history="1" r:id="rIdjhoops_uyefq_i-ft0y8l">
              <w:r>
                <w:rPr>
                  <w:color w:val="0563C1"/>
                  <w:sz w:val="15"/>
                  <w:szCs w:val="15"/>
                  <w:u w:val="single" w:color="0563C1"/>
                </w:rPr>
                <w:t xml:space="preserve">ERIC ED533112</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Chambers, B. m.fl. (2010). Effective Reading Programs for the Elementary Grades: A Best-Evidence Synthesis. Best Evidence Encyclopedia.</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0,10 i tre studier av Engelmanns program, F–‍3</w:t>
            </w:r>
          </w:p>
          <w:p>
            <w:pPr>
              <w:keepNext w:val="false"/>
              <w:spacing w:after="20" w:line="240"/>
            </w:pPr>
            <w:hyperlink w:history="1" r:id="rIdiiljq1stmkuxunv0nlppp">
              <w:r>
                <w:rPr>
                  <w:color w:val="0563C1"/>
                  <w:sz w:val="15"/>
                  <w:szCs w:val="15"/>
                  <w:u w:val="single" w:color="0563C1"/>
                </w:rPr>
                <w:t xml:space="preserve">ERIC ED527637</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Inns, A. m.fl. (2019). Writing Approaches in Years 3 to 13: Evidence Review.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0,22 för SRSD i två studier</w:t>
            </w:r>
          </w:p>
          <w:p>
            <w:pPr>
              <w:keepNext w:val="false"/>
              <w:spacing w:after="20" w:line="240"/>
            </w:pPr>
            <w:hyperlink w:history="1" r:id="rIdxmddano038ayhsvigpbej">
              <w:r>
                <w:rPr>
                  <w:color w:val="0563C1"/>
                  <w:sz w:val="15"/>
                  <w:szCs w:val="15"/>
                  <w:u w:val="single" w:color="0563C1"/>
                </w:rPr>
                <w:t xml:space="preserve">ERIC ED612219</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Stockard, J., Wood, T. W., Coughlin, C. m.fl. (2018). The effectiveness of Direct Instruction curricula: A meta-analysis of a half century of research. Review of Educational Research.</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0,54</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0,54 i 328 studier, mest i F–‍3</w:t>
            </w:r>
          </w:p>
          <w:p>
            <w:pPr>
              <w:keepNext w:val="false"/>
              <w:spacing w:after="20" w:line="240"/>
            </w:pPr>
            <w:hyperlink w:history="1" r:id="rId_imkxmpvwrneyekhhm_od">
              <w:r>
                <w:rPr>
                  <w:color w:val="0563C1"/>
                  <w:sz w:val="15"/>
                  <w:szCs w:val="15"/>
                  <w:u w:val="single" w:color="0563C1"/>
                </w:rPr>
                <w:t xml:space="preserve">DOI 10.3102/0034654317751919</w:t>
              </w:r>
            </w:hyperlink>
          </w:p>
          <w:p>
            <w:pPr>
              <w:keepNext w:val="false"/>
              <w:spacing w:after="0" w:line="240"/>
            </w:pPr>
            <w:r>
              <w:rPr>
                <w:rFonts w:ascii="Arial" w:cs="Arial" w:eastAsia="Arial" w:hAnsi="Arial"/>
                <w:i/>
                <w:iCs/>
                <w:color w:val="555555"/>
                <w:sz w:val="15"/>
                <w:szCs w:val="15"/>
              </w:rPr>
              <w:t xml:space="preserve">Lärande totalt · Läsning · Skrivning · 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Fyra stora försök prövade explicit undervisning i vanliga klasser med standardiserade prov. Ett av dem gav en säker effekt, och den var liten (Jitendra m.fl., 2019). I de andra tre var effekten inte säker, i matematik i förskoleklass och i åk 7 och i skrivning i England (Clarke m.fl., 2015; Jitendra m.fl., 2015; Torgerson m.fl., 2018). Ett mindre försök i NO i åk 5–‍6 gav stor effekt på ett praktiskt prov som forskarna hade gjort (Kruit m.fl., 2018). I vanliga klasser är effekten alltså mindre än i sammanställningarna.</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Clarke, B., Baker, S., Smolkowski, K. m.fl. (2015). Investigating the efficacy of a core kindergarten mathematics curriculum to improve student mathematics learning outcomes. Journal of Research on Educational Effectiveness.</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0,108</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0,108 på det allmänna provet TEMA, 129 klasser</w:t>
            </w:r>
          </w:p>
          <w:p>
            <w:pPr>
              <w:keepNext w:val="false"/>
              <w:spacing w:after="20" w:line="240"/>
            </w:pPr>
            <w:hyperlink w:history="1" r:id="rIdsgbbrdrnoycz0pcya5rr9">
              <w:r>
                <w:rPr>
                  <w:color w:val="0563C1"/>
                  <w:sz w:val="15"/>
                  <w:szCs w:val="15"/>
                  <w:u w:val="single" w:color="0563C1"/>
                </w:rPr>
                <w:t xml:space="preserve">DOI 10.1080/19345747.2014.980021</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Jitendra, A. K., Harwell, M. R., Dupuis, D. N. m.fl. (2015). Effects of a research-based intervention to improve seventh-grade students' proportional problem solving: A cluster randomized trial.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säker skillnad på det allmänna provet, 1 999 elever</w:t>
            </w:r>
          </w:p>
          <w:p>
            <w:pPr>
              <w:keepNext w:val="false"/>
              <w:spacing w:after="20" w:line="240"/>
            </w:pPr>
            <w:hyperlink w:history="1" r:id="rIdmqujbxtvmxmzgc7kxyjxn">
              <w:r>
                <w:rPr>
                  <w:color w:val="0563C1"/>
                  <w:sz w:val="15"/>
                  <w:szCs w:val="15"/>
                  <w:u w:val="single" w:color="0563C1"/>
                </w:rPr>
                <w:t xml:space="preserve">DOI 10.1037/edu0000039</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Jitendra, A. K., Harwell, M. R., Im, S. m.fl. (2019). Improving student learning of ratio, proportion, and percent: A replication study of schema-based instruction.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säker skillnad på det allmänna provet GMADE, 1 492 elever</w:t>
            </w:r>
          </w:p>
          <w:p>
            <w:pPr>
              <w:keepNext w:val="false"/>
              <w:spacing w:after="20" w:line="240"/>
            </w:pPr>
            <w:hyperlink w:history="1" r:id="rId3csfwhokmwusurvidn866">
              <w:r>
                <w:rPr>
                  <w:color w:val="0563C1"/>
                  <w:sz w:val="15"/>
                  <w:szCs w:val="15"/>
                  <w:u w:val="single" w:color="0563C1"/>
                </w:rPr>
                <w:t xml:space="preserve">DOI 10.1037/edu0000335</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Kruit, P. M., Oostdam, R. J., van den Berg, E. m.fl. (2018). Effects of explicit instruction on the acquisition of students' science inquiry skills in grades 5 and 6 of primary education. International Journal of Science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0,66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0,66 på ett praktiskt prov i NO, men inte på ett skriftligt</w:t>
            </w:r>
          </w:p>
          <w:p>
            <w:pPr>
              <w:keepNext w:val="false"/>
              <w:spacing w:after="20" w:line="240"/>
            </w:pPr>
            <w:hyperlink w:history="1" r:id="rIdds5wa2up2jj3qx1gdni25">
              <w:r>
                <w:rPr>
                  <w:color w:val="0563C1"/>
                  <w:sz w:val="15"/>
                  <w:szCs w:val="15"/>
                  <w:u w:val="single" w:color="0563C1"/>
                </w:rPr>
                <w:t xml:space="preserve">DOI 10.1080/09500693.2018.1428777</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Torgerson, C. J., Ainsworth, H., Bell, K. m.fl. (2018). Calderdale Excellence Partnership: IPEELL. Evaluation report and executive summary.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 0</w:t>
            </w:r>
          </w:p>
          <w:p>
            <w:pPr>
              <w:keepNext w:val="false"/>
              <w:spacing w:after="0" w:line="240"/>
              <w:jc w:val="center"/>
            </w:pPr>
            <w:r>
              <w:rPr>
                <w:rFonts w:ascii="Arial" w:cs="Arial" w:eastAsia="Arial" w:hAnsi="Arial"/>
                <w:color w:val="555555"/>
                <w:sz w:val="15"/>
                <w:szCs w:val="15"/>
              </w:rPr>
              <w:t xml:space="preserve">Ingen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−0,09 och 0,11 i två årskullar, 84 och 83 skolor</w:t>
            </w:r>
          </w:p>
          <w:p>
            <w:pPr>
              <w:keepNext w:val="false"/>
              <w:spacing w:after="20" w:line="240"/>
            </w:pPr>
            <w:hyperlink w:history="1" r:id="rIdt4i0l46z_vsbtqxdlhvaw">
              <w:r>
                <w:rPr>
                  <w:color w:val="0563C1"/>
                  <w:sz w:val="15"/>
                  <w:szCs w:val="15"/>
                  <w:u w:val="single" w:color="0563C1"/>
                </w:rPr>
                <w:t xml:space="preserve">DOI 10.1186/ISRCTN11002306</w:t>
              </w:r>
            </w:hyperlink>
          </w:p>
          <w:p>
            <w:pPr>
              <w:keepNext w:val="false"/>
              <w:spacing w:after="0" w:line="240"/>
            </w:pPr>
            <w:r>
              <w:rPr>
                <w:rFonts w:ascii="Arial" w:cs="Arial" w:eastAsia="Arial" w:hAnsi="Arial"/>
                <w:i/>
                <w:iCs/>
                <w:color w:val="555555"/>
                <w:sz w:val="15"/>
                <w:szCs w:val="15"/>
              </w:rPr>
              <w:t xml:space="preserve">Lärande totalt · Skrivning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Artiklarna och klassrumsstudierna beskriver kärnans fyra delar: små steg, svar från alla och från var och en, återkoppling direkt och en kontroll innan eleverna övar själva (Hughes m.fl., 2017; Rosenshine, 2012). I en studie hängde de egna svaren ihop med framstegen för elever i matematiksvårigheter (Doabler m.fl., 2019). När alla svarade samtidigt blev det fler svar och bättre arbetsro än när en elev i taget svarade, i små studier (MacSuga-Gage och Simonsen, 2015). Det som ofta försvinner är att eleverna visar hur de tänker: i en fallstudie kom kontrollen av förståelsen inte tillbaka trots coachning (Baco m.fl., 2023).</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Baco, C., Bocquillon, M., Delbart, B. m.fl. (2023). Explicit Instruction: Evaluating the Fidelity of a Teacher's Practice Supported by Professional Development and Directive Coaching - A Case Study. Australian Journal of Teacher Education.</w:t>
            </w:r>
          </w:p>
          <w:p>
            <w:pPr>
              <w:keepNext w:val="false"/>
              <w:spacing w:after="20" w:line="240"/>
            </w:pPr>
            <w:r>
              <w:rPr>
                <w:color w:val="1a1a1a"/>
                <w:sz w:val="16"/>
                <w:szCs w:val="16"/>
              </w:rPr>
              <w:t xml:space="preserve">Läraren slutade kontrollera förståelsen, trots coachning</w:t>
            </w:r>
          </w:p>
          <w:p>
            <w:pPr>
              <w:keepNext w:val="false"/>
              <w:spacing w:after="20" w:line="240"/>
            </w:pPr>
            <w:hyperlink w:history="1" r:id="rIdbq9t_vnzj6wfjnrpe8qfi">
              <w:r>
                <w:rPr>
                  <w:color w:val="0563C1"/>
                  <w:sz w:val="15"/>
                  <w:szCs w:val="15"/>
                  <w:u w:val="single" w:color="0563C1"/>
                </w:rPr>
                <w:t xml:space="preserve">DOI 10.14221/1835-517X.5965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Doabler, C. T., Stoolmiller, M., Kennedy, P. C. m.fl. (2019). Do components of explicit instruction explain the differential effectiveness of a core mathematics program for kindergarten students with mathematics difficulties? A mediated moderation analysis. Assessment for Effective Intervention.</w:t>
            </w:r>
          </w:p>
          <w:p>
            <w:pPr>
              <w:keepNext w:val="false"/>
              <w:spacing w:after="20" w:line="240"/>
            </w:pPr>
            <w:r>
              <w:rPr>
                <w:color w:val="1a1a1a"/>
                <w:sz w:val="16"/>
                <w:szCs w:val="16"/>
              </w:rPr>
              <w:t xml:space="preserve">Egna svar bar effekten för elever i matematiksvårigheter</w:t>
            </w:r>
          </w:p>
          <w:p>
            <w:pPr>
              <w:keepNext w:val="false"/>
              <w:spacing w:after="20" w:line="240"/>
            </w:pPr>
            <w:hyperlink w:history="1" r:id="rIdcy8_c2q5mnb9_kqjtvzno">
              <w:r>
                <w:rPr>
                  <w:color w:val="0563C1"/>
                  <w:sz w:val="15"/>
                  <w:szCs w:val="15"/>
                  <w:u w:val="single" w:color="0563C1"/>
                </w:rPr>
                <w:t xml:space="preserve">DOI 10.1177/1534508418758364</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Hughes, C. A., Morris, J. R., Therrien, W. J. m.fl. (2017). Explicit instruction: Historical and contemporary contexts. Learning Disabilities Research &amp; Practice.</w:t>
            </w:r>
          </w:p>
          <w:p>
            <w:pPr>
              <w:keepNext w:val="false"/>
              <w:spacing w:after="20" w:line="240"/>
            </w:pPr>
            <w:r>
              <w:rPr>
                <w:color w:val="1a1a1a"/>
                <w:sz w:val="16"/>
                <w:szCs w:val="16"/>
              </w:rPr>
              <w:t xml:space="preserve">Vad explicit undervisning är, del för del</w:t>
            </w:r>
          </w:p>
          <w:p>
            <w:pPr>
              <w:keepNext w:val="false"/>
              <w:spacing w:after="20" w:line="240"/>
            </w:pPr>
            <w:hyperlink w:history="1" r:id="rId7h2ph4z1ebsa-k95-kccy">
              <w:r>
                <w:rPr>
                  <w:color w:val="0563C1"/>
                  <w:sz w:val="15"/>
                  <w:szCs w:val="15"/>
                  <w:u w:val="single" w:color="0563C1"/>
                </w:rPr>
                <w:t xml:space="preserve">DOI 10.1111/ldrp.12142</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Systematisk översikt</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MacSuga-Gage, A. S. och Simonsen, B. (2015). Examining the effects of teacher-directed opportunities to respond on student outcomes: A systematic review of the literature. Education and Treatment of Children.</w:t>
            </w:r>
          </w:p>
          <w:p>
            <w:pPr>
              <w:keepNext w:val="false"/>
              <w:spacing w:after="20" w:line="240"/>
            </w:pPr>
            <w:r>
              <w:rPr>
                <w:color w:val="1a1a1a"/>
                <w:sz w:val="16"/>
                <w:szCs w:val="16"/>
              </w:rPr>
              <w:t xml:space="preserve">Alla svarar samtidigt: fler svar och bättre arbetsro</w:t>
            </w:r>
          </w:p>
          <w:p>
            <w:pPr>
              <w:keepNext w:val="false"/>
              <w:spacing w:after="20" w:line="240"/>
            </w:pPr>
            <w:hyperlink w:history="1" r:id="rIdbm1i5fkjhh9i6pckyamez">
              <w:r>
                <w:rPr>
                  <w:color w:val="0563C1"/>
                  <w:sz w:val="15"/>
                  <w:szCs w:val="15"/>
                  <w:u w:val="single" w:color="0563C1"/>
                </w:rPr>
                <w:t xml:space="preserve">DOI 10.1353/etc.2015.0009</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Rosenshine, B. (2012). Principles of Instruction: Research-Based Strategies That All Teachers Should Know. American Educator.</w:t>
            </w:r>
          </w:p>
          <w:p>
            <w:pPr>
              <w:keepNext w:val="false"/>
              <w:spacing w:after="20" w:line="240"/>
            </w:pPr>
            <w:r>
              <w:rPr>
                <w:color w:val="1a1a1a"/>
                <w:sz w:val="16"/>
                <w:szCs w:val="16"/>
              </w:rPr>
              <w:t xml:space="preserve">Små steg, allas svar och kontroll före eget arbete</w:t>
            </w:r>
          </w:p>
          <w:p>
            <w:pPr>
              <w:keepNext w:val="false"/>
              <w:spacing w:after="20" w:line="240"/>
            </w:pPr>
            <w:hyperlink w:history="1" r:id="rIdbkzwhcalx4z35frefgr3o">
              <w:r>
                <w:rPr>
                  <w:color w:val="0563C1"/>
                  <w:sz w:val="15"/>
                  <w:szCs w:val="15"/>
                  <w:u w:val="single" w:color="0563C1"/>
                </w:rPr>
                <w:t xml:space="preserve">ERIC EJ971753</w:t>
              </w:r>
            </w:hyperlink>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niclasfohlin.se/metoder/explicit-undervisning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Explicit undervisning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tdg382wha74ilykr_lvy" Type="http://schemas.openxmlformats.org/officeDocument/2006/relationships/hyperlink" Target="https://niclasfohlin.se/metoder/explicit-undervisning#metodkortet" TargetMode="External"/><Relationship Id="rId5lbyspav7rncy5fgpsmvf" Type="http://schemas.openxmlformats.org/officeDocument/2006/relationships/hyperlink" Target="https://doi.org/10.3102/0013189X20912798" TargetMode="External"/><Relationship Id="rIdvdwxhiepu0dxudbbexxm6" Type="http://schemas.openxmlformats.org/officeDocument/2006/relationships/hyperlink" Target="https://doi.org/10.3102/0013189X16656615" TargetMode="External"/><Relationship Id="rId6rd24rhnm4zfwoipxekuc" Type="http://schemas.openxmlformats.org/officeDocument/2006/relationships/hyperlink" Target="https://eric.ed.gov/?id=ED611018" TargetMode="External"/><Relationship Id="rIdjhoops_uyefq_i-ft0y8l" Type="http://schemas.openxmlformats.org/officeDocument/2006/relationships/hyperlink" Target="https://eric.ed.gov/?id=ED533112" TargetMode="External"/><Relationship Id="rIdiiljq1stmkuxunv0nlppp" Type="http://schemas.openxmlformats.org/officeDocument/2006/relationships/hyperlink" Target="https://eric.ed.gov/?id=ED527637" TargetMode="External"/><Relationship Id="rIdxmddano038ayhsvigpbej" Type="http://schemas.openxmlformats.org/officeDocument/2006/relationships/hyperlink" Target="https://eric.ed.gov/?id=ED612219" TargetMode="External"/><Relationship Id="rId_imkxmpvwrneyekhhm_od" Type="http://schemas.openxmlformats.org/officeDocument/2006/relationships/hyperlink" Target="https://doi.org/10.3102/0034654317751919" TargetMode="External"/><Relationship Id="rIdsgbbrdrnoycz0pcya5rr9" Type="http://schemas.openxmlformats.org/officeDocument/2006/relationships/hyperlink" Target="https://doi.org/10.1080/19345747.2014.980021" TargetMode="External"/><Relationship Id="rIdmqujbxtvmxmzgc7kxyjxn" Type="http://schemas.openxmlformats.org/officeDocument/2006/relationships/hyperlink" Target="https://doi.org/10.1037/edu0000039" TargetMode="External"/><Relationship Id="rId3csfwhokmwusurvidn866" Type="http://schemas.openxmlformats.org/officeDocument/2006/relationships/hyperlink" Target="https://doi.org/10.1037/edu0000335" TargetMode="External"/><Relationship Id="rIdds5wa2up2jj3qx1gdni25" Type="http://schemas.openxmlformats.org/officeDocument/2006/relationships/hyperlink" Target="https://doi.org/10.1080/09500693.2018.1428777" TargetMode="External"/><Relationship Id="rIdt4i0l46z_vsbtqxdlhvaw" Type="http://schemas.openxmlformats.org/officeDocument/2006/relationships/hyperlink" Target="https://doi.org/10.1186/ISRCTN11002306" TargetMode="External"/><Relationship Id="rIdbq9t_vnzj6wfjnrpe8qfi" Type="http://schemas.openxmlformats.org/officeDocument/2006/relationships/hyperlink" Target="https://doi.org/10.14221/1835-517X.5965" TargetMode="External"/><Relationship Id="rIdcy8_c2q5mnb9_kqjtvzno" Type="http://schemas.openxmlformats.org/officeDocument/2006/relationships/hyperlink" Target="https://doi.org/10.1177/1534508418758364" TargetMode="External"/><Relationship Id="rId7h2ph4z1ebsa-k95-kccy" Type="http://schemas.openxmlformats.org/officeDocument/2006/relationships/hyperlink" Target="https://doi.org/10.1111/ldrp.12142" TargetMode="External"/><Relationship Id="rIdbm1i5fkjhh9i6pckyamez" Type="http://schemas.openxmlformats.org/officeDocument/2006/relationships/hyperlink" Target="https://doi.org/10.1353/etc.2015.0009" TargetMode="External"/><Relationship Id="rIdbkzwhcalx4z35frefgr3o" Type="http://schemas.openxmlformats.org/officeDocument/2006/relationships/hyperlink" Target="https://eric.ed.gov/?id=EJ971753"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2026-11-04T05:26:37.012Z</dcterms:created>
  <dcterms:modified xsi:type="dcterms:W3CDTF">2026-11-04T05:26:37.012Z</dcterms:modified>
</cp:coreProperties>
</file>

<file path=docProps/custom.xml><?xml version="1.0" encoding="utf-8"?>
<Properties xmlns="http://schemas.openxmlformats.org/officeDocument/2006/custom-properties" xmlns:vt="http://schemas.openxmlformats.org/officeDocument/2006/docPropsVTypes"/>
</file>