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3"/>
        <w:keepNext/>
      </w:pPr>
      <w:r>
        <w:t xml:space="preserve">Forskningen bakom formativ bedömning</w:t>
      </w:r>
    </w:p>
    <w:p>
      <w:pPr>
        <w:spacing w:after="150" w:line="246"/>
      </w:pPr>
      <w:r>
        <w:rPr>
          <w:color w:val="555555"/>
          <w:sz w:val="19"/>
          <w:szCs w:val="19"/>
        </w:rPr>
        <w:t xml:space="preserve">15 källor, valda 2026-11-01 efter metodens regel.</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88"/>
        <w:gridCol w:w="140"/>
        <w:gridCol w:w="1388"/>
        <w:gridCol w:w="140"/>
        <w:gridCol w:w="1388"/>
        <w:gridCol w:w="140"/>
        <w:gridCol w:w="1388"/>
        <w:gridCol w:w="140"/>
        <w:gridCol w:w="1388"/>
        <w:gridCol w:w="140"/>
        <w:gridCol w:w="1388"/>
      </w:tblGrid>
      <w:tr>
        <w:trPr>
          <w:cantSplit/>
        </w:trPr>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Lärande totalt</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BF3D9" w:color="auto" w:val="clear"/>
            <w:tcMar>
              <w:top w:type="dxa" w:w="50"/>
              <w:left w:type="dxa" w:w="120"/>
              <w:bottom w:type="dxa" w:w="50"/>
              <w:right w:type="dxa" w:w="120"/>
            </w:tcMar>
            <w:vAlign w:val="top"/>
          </w:tcPr>
          <w:p>
            <w:pPr>
              <w:keepNext/>
              <w:spacing w:after="0" w:line="246"/>
            </w:pPr>
            <w:r>
              <w:rPr>
                <w:color w:val="555555"/>
                <w:sz w:val="15"/>
                <w:szCs w:val="15"/>
              </w:rPr>
              <w:t xml:space="preserve">Läsning</w:t>
            </w:r>
          </w:p>
          <w:p>
            <w:pPr>
              <w:keepNext/>
              <w:spacing w:after="0" w:line="240"/>
            </w:pPr>
            <w:r>
              <w:rPr>
                <w:b/>
                <w:bCs/>
                <w:color w:val="1a1a1a"/>
                <w:sz w:val="19"/>
                <w:szCs w:val="19"/>
              </w:rPr>
              <w:t xml:space="preserve">Visst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Skrivning</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Matematik</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BF3D9" w:color="auto" w:val="clear"/>
            <w:tcMar>
              <w:top w:type="dxa" w:w="50"/>
              <w:left w:type="dxa" w:w="120"/>
              <w:bottom w:type="dxa" w:w="50"/>
              <w:right w:type="dxa" w:w="120"/>
            </w:tcMar>
            <w:vAlign w:val="top"/>
          </w:tcPr>
          <w:p>
            <w:pPr>
              <w:keepNext/>
              <w:spacing w:after="0" w:line="246"/>
            </w:pPr>
            <w:r>
              <w:rPr>
                <w:color w:val="555555"/>
                <w:sz w:val="15"/>
                <w:szCs w:val="15"/>
              </w:rPr>
              <w:t xml:space="preserve">Ämnen</w:t>
            </w:r>
          </w:p>
          <w:p>
            <w:pPr>
              <w:keepNext/>
              <w:spacing w:after="0" w:line="240"/>
            </w:pPr>
            <w:r>
              <w:rPr>
                <w:b/>
                <w:bCs/>
                <w:color w:val="1a1a1a"/>
                <w:sz w:val="19"/>
                <w:szCs w:val="19"/>
              </w:rPr>
              <w:t xml:space="preserve">Visst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50"/>
              <w:left w:type="dxa" w:w="120"/>
              <w:bottom w:type="dxa" w:w="50"/>
              <w:right w:type="dxa" w:w="120"/>
            </w:tcMar>
            <w:vAlign w:val="top"/>
          </w:tcPr>
          <w:p>
            <w:pPr>
              <w:keepNext/>
              <w:spacing w:after="0" w:line="246"/>
            </w:pPr>
            <w:r>
              <w:rPr>
                <w:color w:val="555555"/>
                <w:sz w:val="15"/>
                <w:szCs w:val="15"/>
              </w:rPr>
              <w:t xml:space="preserve">Socialt</w:t>
            </w:r>
          </w:p>
          <w:p>
            <w:pPr>
              <w:keepNext/>
              <w:spacing w:after="0" w:line="240"/>
            </w:pPr>
            <w:r>
              <w:rPr>
                <w:b/>
                <w:bCs/>
                <w:color w:val="1a1a1a"/>
                <w:sz w:val="19"/>
                <w:szCs w:val="19"/>
              </w:rPr>
              <w:t xml:space="preserve">Anekdotiskt stöd</w:t>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Så läser du. Talet till vänster är källans effektstorlek, och ordet under säger hur stor den är. Märkena säger vilka rader i </w:t>
      </w:r>
      <w:hyperlink w:history="1" r:id="rIdajpdnajgo42o5p8bztrts">
        <w:r>
          <w:rPr>
            <w:color w:val="0563C1"/>
            <w:sz w:val="19"/>
            <w:szCs w:val="19"/>
            <w:u w:val="single" w:color="0563C1"/>
          </w:rPr>
          <w:t xml:space="preserve">metodkortet</w:t>
        </w:r>
      </w:hyperlink>
      <w:r>
        <w:rPr>
          <w:color w:val="555555"/>
          <w:sz w:val="19"/>
          <w:szCs w:val="19"/>
        </w:rPr>
        <w:t xml:space="preserve"> källan bär. I stora försök i många skolor är 0,05 en måttlig och 0,20 en stor effekt. Mindre studier ger ungefär dubbelt så stora tal, så där är 0,20 måttlig och 0,40 stor. Under det är effekten liten. När resultatet inte är säkert står Inte säker.</w:t>
      </w:r>
    </w:p>
    <w:p>
      <w:pPr>
        <w:spacing w:after="150" w:line="246"/>
      </w:pPr>
      <w:r>
        <w:rPr>
          <w:color w:val="555555"/>
          <w:sz w:val="19"/>
          <w:szCs w:val="19"/>
        </w:rPr>
        <w:t xml:space="preserve">Skalans källor: Kraft, M. A. (2020). Interpreting effect sizes of education interventions. Educational Researcher, 49(4), 241–253. </w:t>
      </w:r>
      <w:hyperlink w:history="1" r:id="rIdzitzgnca-auins8yf5brs">
        <w:r>
          <w:rPr>
            <w:color w:val="0563C1"/>
            <w:sz w:val="19"/>
            <w:szCs w:val="19"/>
            <w:u w:val="single" w:color="0563C1"/>
          </w:rPr>
          <w:t xml:space="preserve">DOI 10.3102/0013189X20912798</w:t>
        </w:r>
      </w:hyperlink>
      <w:r>
        <w:rPr>
          <w:color w:val="555555"/>
          <w:sz w:val="19"/>
          <w:szCs w:val="19"/>
        </w:rPr>
        <w:t xml:space="preserve"> Cheung, A. C. K. och Slavin, R. E. (2016). How methodological features affect effect sizes in education. Educational Researcher, 45(5), 283–292. </w:t>
      </w:r>
      <w:hyperlink w:history="1" r:id="rIdo3nbkrdw2vmcgbtvrl-t7">
        <w:r>
          <w:rPr>
            <w:color w:val="0563C1"/>
            <w:sz w:val="19"/>
            <w:szCs w:val="19"/>
            <w:u w:val="single" w:color="0563C1"/>
          </w:rPr>
          <w:t xml:space="preserve">DOI 10.3102/0013189X16656615</w:t>
        </w:r>
      </w:hyperlink>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Metastudier</w:t>
            </w:r>
            <w:r>
              <w:rPr>
                <w:rFonts w:ascii="Arial" w:cs="Arial" w:eastAsia="Arial" w:hAnsi="Arial"/>
                <w:color w:val="555555"/>
                <w:sz w:val="17"/>
                <w:szCs w:val="17"/>
              </w:rPr>
              <w:t xml:space="preserve">   Sammanställningar av många studier. De bär nivåerna i metodkortet.</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Klutes urval ger 0,26, mest i åk 1–‍6, och över hälften av studierna gäller elevgrupper med specialundervisning eller låga resultat (Klute m.fl., 2017). En större metaanalys ger 0,25 (Yao m.fl., 2024). Mellan studier i läsning gav metoden 0,24 när läraren anpassade undervisningen och 0,05 utan (Xuan m.fl., 2022). I skrivning ger återkopplingen mer än uppföljningen (Graham m.fl., 2015). NO har 0,19 (Kingston och Nash, 2011), SO är knappt studerat och teknik inte alls.</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Graham, S., Hebert, M. och Harris, K. R. (2015). Formative assessment and writing. The Elementary School Journal.</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0,87</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0,87 för återkoppling från vuxna på elevernas texter</w:t>
            </w:r>
          </w:p>
          <w:p>
            <w:pPr>
              <w:keepNext w:val="false"/>
              <w:spacing w:after="20" w:line="240"/>
            </w:pPr>
            <w:hyperlink w:history="1" r:id="rIdwqc04ert-axn_hz49i-mt">
              <w:r>
                <w:rPr>
                  <w:color w:val="0563C1"/>
                  <w:sz w:val="15"/>
                  <w:szCs w:val="15"/>
                  <w:u w:val="single" w:color="0563C1"/>
                </w:rPr>
                <w:t xml:space="preserve">DOI 10.1086/681947</w:t>
              </w:r>
            </w:hyperlink>
          </w:p>
          <w:p>
            <w:pPr>
              <w:keepNext w:val="false"/>
              <w:spacing w:after="0" w:line="240"/>
            </w:pPr>
            <w:r>
              <w:rPr>
                <w:rFonts w:ascii="Arial" w:cs="Arial" w:eastAsia="Arial" w:hAnsi="Arial"/>
                <w:i/>
                <w:iCs/>
                <w:color w:val="555555"/>
                <w:sz w:val="15"/>
                <w:szCs w:val="15"/>
              </w:rPr>
              <w:t xml:space="preserve">Skrivning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Kingston, N. och Nash, B. (2011). Formative assessment: A meta-analysis and a call for research. Educational Measurement: Issues and Practice.</w:t>
            </w:r>
          </w:p>
        </w:tc>
      </w:tr>
      <w:tr>
        <w:trPr>
          <w:cantSplit/>
        </w:trPr>
        <w:tc>
          <w:tcPr>
            <w:tcW w:type="dxa" w:w="1504"/>
            <w:gridSpan w:val="2"/>
            <w:tcBorders>
              <w:top w:val="single" w:color="D7DCE2" w:sz="4"/>
              <w:left w:val="single" w:color="2e75b6" w:sz="12"/>
              <w:bottom w:val="single" w:color="D7DCE2" w:sz="4"/>
              <w:right w:val="single" w:color="D7DCE2" w:sz="4"/>
            </w:tcBorders>
            <w:shd w:fill="FBF3D9"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0,19</w:t>
            </w:r>
          </w:p>
          <w:p>
            <w:pPr>
              <w:keepNext w:val="false"/>
              <w:spacing w:after="0" w:line="240"/>
              <w:jc w:val="center"/>
            </w:pPr>
            <w:r>
              <w:rPr>
                <w:rFonts w:ascii="Arial" w:cs="Arial" w:eastAsia="Arial" w:hAnsi="Arial"/>
                <w:color w:val="555555"/>
                <w:sz w:val="15"/>
                <w:szCs w:val="15"/>
              </w:rPr>
              <w:t xml:space="preserve">Liten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0,19 [0,06; 0,31] i NO, efter rättelsen 2015</w:t>
            </w:r>
          </w:p>
          <w:p>
            <w:pPr>
              <w:keepNext w:val="false"/>
              <w:spacing w:after="20" w:line="240"/>
            </w:pPr>
            <w:hyperlink w:history="1" r:id="rIddl6ucl7udujw7gh7fru0p">
              <w:r>
                <w:rPr>
                  <w:color w:val="0563C1"/>
                  <w:sz w:val="15"/>
                  <w:szCs w:val="15"/>
                  <w:u w:val="single" w:color="0563C1"/>
                </w:rPr>
                <w:t xml:space="preserve">DOI 10.1111/j.1745-3992.2011.00220.x</w:t>
              </w:r>
            </w:hyperlink>
          </w:p>
          <w:p>
            <w:pPr>
              <w:keepNext w:val="false"/>
              <w:spacing w:after="0" w:line="240"/>
            </w:pPr>
            <w:r>
              <w:rPr>
                <w:rFonts w:ascii="Arial" w:cs="Arial" w:eastAsia="Arial" w:hAnsi="Arial"/>
                <w:i/>
                <w:iCs/>
                <w:color w:val="555555"/>
                <w:sz w:val="15"/>
                <w:szCs w:val="15"/>
              </w:rPr>
              <w:t xml:space="preserve">Ämnen · 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Klute, M., Apthorp, H., Harlacher, J. m.fl. (2017). Formative assessment and elementary school student academic achievement: A review of the evidence. Regional Educational Laboratory Central.</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0,26</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0,26 i 19 studier, mest åk 1–‍6; 0,36 i matematik</w:t>
            </w:r>
          </w:p>
          <w:p>
            <w:pPr>
              <w:keepNext w:val="false"/>
              <w:spacing w:after="20" w:line="240"/>
            </w:pPr>
            <w:hyperlink w:history="1" r:id="rIdozxwvzo3k68z3mn4lbheq">
              <w:r>
                <w:rPr>
                  <w:color w:val="0563C1"/>
                  <w:sz w:val="15"/>
                  <w:szCs w:val="15"/>
                  <w:u w:val="single" w:color="0563C1"/>
                </w:rPr>
                <w:t xml:space="preserve">ERIC ED572929</w:t>
              </w:r>
            </w:hyperlink>
          </w:p>
          <w:p>
            <w:pPr>
              <w:keepNext w:val="false"/>
              <w:spacing w:after="0" w:line="240"/>
            </w:pPr>
            <w:r>
              <w:rPr>
                <w:rFonts w:ascii="Arial" w:cs="Arial" w:eastAsia="Arial" w:hAnsi="Arial"/>
                <w:i/>
                <w:iCs/>
                <w:color w:val="555555"/>
                <w:sz w:val="15"/>
                <w:szCs w:val="15"/>
              </w:rPr>
              <w:t xml:space="preserve">Lärande totalt · Läsning · Skrivning · 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Xuan, Q., Cheung, A. och Sun, D. (2022). The effectiveness of formative assessment for enhancing reading achievement in K-12 classrooms: A meta-analysis. Frontiers in Psychology.</w:t>
            </w:r>
          </w:p>
        </w:tc>
      </w:tr>
      <w:tr>
        <w:trPr>
          <w:cantSplit/>
        </w:trPr>
        <w:tc>
          <w:tcPr>
            <w:tcW w:type="dxa" w:w="1504"/>
            <w:gridSpan w:val="2"/>
            <w:tcBorders>
              <w:top w:val="single" w:color="D7DCE2" w:sz="4"/>
              <w:left w:val="single" w:color="2e75b6" w:sz="12"/>
              <w:bottom w:val="single" w:color="D7DCE2" w:sz="4"/>
              <w:right w:val="single" w:color="D7DCE2" w:sz="4"/>
            </w:tcBorders>
            <w:shd w:fill="FBF3D9"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0,19</w:t>
            </w:r>
          </w:p>
          <w:p>
            <w:pPr>
              <w:keepNext w:val="false"/>
              <w:spacing w:after="0" w:line="240"/>
              <w:jc w:val="center"/>
            </w:pPr>
            <w:r>
              <w:rPr>
                <w:rFonts w:ascii="Arial" w:cs="Arial" w:eastAsia="Arial" w:hAnsi="Arial"/>
                <w:color w:val="555555"/>
                <w:sz w:val="15"/>
                <w:szCs w:val="15"/>
              </w:rPr>
              <w:t xml:space="preserve">Liten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0,19 i 48 studier i läsning; 0,24 med anpassad undervisning</w:t>
            </w:r>
          </w:p>
          <w:p>
            <w:pPr>
              <w:keepNext w:val="false"/>
              <w:spacing w:after="20" w:line="240"/>
            </w:pPr>
            <w:hyperlink w:history="1" r:id="rIddo1jpwwnwdqrf3es66k0h">
              <w:r>
                <w:rPr>
                  <w:color w:val="0563C1"/>
                  <w:sz w:val="15"/>
                  <w:szCs w:val="15"/>
                  <w:u w:val="single" w:color="0563C1"/>
                </w:rPr>
                <w:t xml:space="preserve">DOI 10.3389/fpsyg.2022.990196</w:t>
              </w:r>
            </w:hyperlink>
          </w:p>
          <w:p>
            <w:pPr>
              <w:keepNext w:val="false"/>
              <w:spacing w:after="0" w:line="240"/>
            </w:pPr>
            <w:r>
              <w:rPr>
                <w:rFonts w:ascii="Arial" w:cs="Arial" w:eastAsia="Arial" w:hAnsi="Arial"/>
                <w:i/>
                <w:iCs/>
                <w:color w:val="555555"/>
                <w:sz w:val="15"/>
                <w:szCs w:val="15"/>
              </w:rPr>
              <w:t xml:space="preserve">Läsning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Yao, Y., Amos, M., Snider, K. m.fl. (2024). The impact of formative assessment on K-12 learning: a meta-analysis. Educational Research and Evaluation.</w:t>
            </w:r>
          </w:p>
        </w:tc>
      </w:tr>
      <w:tr>
        <w:trPr>
          <w:cantSplit/>
        </w:trPr>
        <w:tc>
          <w:tcPr>
            <w:tcW w:type="dxa" w:w="1504"/>
            <w:gridSpan w:val="2"/>
            <w:tcBorders>
              <w:top w:val="single" w:color="D7DCE2" w:sz="4"/>
              <w:left w:val="single" w:color="2e75b6" w:sz="12"/>
              <w:bottom w:val="single" w:color="2e75b6" w:sz="12"/>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0,25</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0,25 i 118 studier, grund- och gymnasieskola</w:t>
            </w:r>
          </w:p>
          <w:p>
            <w:pPr>
              <w:keepNext w:val="false"/>
              <w:spacing w:after="20" w:line="240"/>
            </w:pPr>
            <w:hyperlink w:history="1" r:id="rIdb78snkivtfeg_lgctzt7i">
              <w:r>
                <w:rPr>
                  <w:color w:val="0563C1"/>
                  <w:sz w:val="15"/>
                  <w:szCs w:val="15"/>
                  <w:u w:val="single" w:color="0563C1"/>
                </w:rPr>
                <w:t xml:space="preserve">DOI 10.1080/13803611.2024.2363831</w:t>
              </w:r>
            </w:hyperlink>
          </w:p>
          <w:p>
            <w:pPr>
              <w:keepNext w:val="false"/>
              <w:spacing w:after="0" w:line="240"/>
            </w:pPr>
            <w:r>
              <w:rPr>
                <w:rFonts w:ascii="Arial" w:cs="Arial" w:eastAsia="Arial" w:hAnsi="Arial"/>
                <w:i/>
                <w:iCs/>
                <w:color w:val="555555"/>
                <w:sz w:val="15"/>
                <w:szCs w:val="15"/>
              </w:rPr>
              <w:t xml:space="preserve">Lärande totalt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Experimentella studier och RCT</w:t>
            </w:r>
            <w:r>
              <w:rPr>
                <w:rFonts w:ascii="Arial" w:cs="Arial" w:eastAsia="Arial" w:hAnsi="Arial"/>
                <w:color w:val="555555"/>
                <w:sz w:val="17"/>
                <w:szCs w:val="17"/>
              </w:rPr>
              <w:t xml:space="preserve">   En grupp fick metoden och en jämförbar grupp fick den inte, ofta efter lottning.</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Försöken går från ingen skillnad till en stor effekt, och de ger inget samlat tal. På oberoende prov i England gav hela arbetssättet 0,09, inte säkert (Anders m.fl., 2022), digitala svarsdosor ingen skillnad (Wiggins m.fl., 2017) och metoden i NO för 9–10-åringar 0,17 (Mujtaba m.fl., 2022). På forskarnas prov gav metoden 0,66 i svensk åk 4 (Andersson och Palm, 2017) och ingen skillnad i svensk åk 7 (Boström och Palm, 2023).</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Anders, J., Foliano, F., Bursnall, M. m.fl. (2022). The effect of embedding formative assessment on pupil attainment. Journal of Research on Educational Effectiveness.</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0,09</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d = 0,09 [−0,01; 0,18] på nationella prov, 25 393 elever, 140 skolor</w:t>
            </w:r>
          </w:p>
          <w:p>
            <w:pPr>
              <w:keepNext w:val="false"/>
              <w:spacing w:after="20" w:line="240"/>
            </w:pPr>
            <w:hyperlink w:history="1" r:id="rId3tly326y1rqr8vzw04v-e">
              <w:r>
                <w:rPr>
                  <w:color w:val="0563C1"/>
                  <w:sz w:val="15"/>
                  <w:szCs w:val="15"/>
                  <w:u w:val="single" w:color="0563C1"/>
                </w:rPr>
                <w:t xml:space="preserve">DOI 10.1080/19345747.2021.2018746</w:t>
              </w:r>
            </w:hyperlink>
          </w:p>
          <w:p>
            <w:pPr>
              <w:keepNext w:val="false"/>
              <w:spacing w:after="0" w:line="240"/>
            </w:pPr>
            <w:r>
              <w:rPr>
                <w:rFonts w:ascii="Arial" w:cs="Arial" w:eastAsia="Arial" w:hAnsi="Arial"/>
                <w:i/>
                <w:iCs/>
                <w:color w:val="555555"/>
                <w:sz w:val="15"/>
                <w:szCs w:val="15"/>
              </w:rPr>
              <w:t xml:space="preserve">Lärande totalt · Matematik · 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Andersson, C. och Palm, T. (2017). The impact of formative assessment on student achievement: A study of the effects of changes to classroom practice after a comprehensive professional development programme. Learning and Instruction.</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0,66</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d = 0,66 på klassmedelvärden, 738 elever i åk 4</w:t>
            </w:r>
          </w:p>
          <w:p>
            <w:pPr>
              <w:keepNext w:val="false"/>
              <w:spacing w:after="20" w:line="240"/>
            </w:pPr>
            <w:hyperlink w:history="1" r:id="rIdpqp_kwbjm8dixzttp_zth">
              <w:r>
                <w:rPr>
                  <w:color w:val="0563C1"/>
                  <w:sz w:val="15"/>
                  <w:szCs w:val="15"/>
                  <w:u w:val="single" w:color="0563C1"/>
                </w:rPr>
                <w:t xml:space="preserve">DOI 10.1016/j.learninstruc.2016.12.006</w:t>
              </w:r>
            </w:hyperlink>
          </w:p>
          <w:p>
            <w:pPr>
              <w:keepNext w:val="false"/>
              <w:spacing w:after="0" w:line="240"/>
            </w:pPr>
            <w:r>
              <w:rPr>
                <w:rFonts w:ascii="Arial" w:cs="Arial" w:eastAsia="Arial" w:hAnsi="Arial"/>
                <w:i/>
                <w:iCs/>
                <w:color w:val="555555"/>
                <w:sz w:val="15"/>
                <w:szCs w:val="15"/>
              </w:rPr>
              <w:t xml:space="preserve">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Boström, E. och Palm, T. (2023). The effect of a formative assessment practice on student achievement in mathematics. Frontiers in Education.</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0,00</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partiell eta² = 0,00, p = 0,85, 566 elever i 14 skolor i åk 7</w:t>
            </w:r>
          </w:p>
          <w:p>
            <w:pPr>
              <w:keepNext w:val="false"/>
              <w:spacing w:after="20" w:line="240"/>
            </w:pPr>
            <w:hyperlink w:history="1" r:id="rIdyvtvpi2lamzmumgjino1y">
              <w:r>
                <w:rPr>
                  <w:color w:val="0563C1"/>
                  <w:sz w:val="15"/>
                  <w:szCs w:val="15"/>
                  <w:u w:val="single" w:color="0563C1"/>
                </w:rPr>
                <w:t xml:space="preserve">DOI 10.3389/feduc.2023.1101192</w:t>
              </w:r>
            </w:hyperlink>
          </w:p>
          <w:p>
            <w:pPr>
              <w:keepNext w:val="false"/>
              <w:spacing w:after="0" w:line="240"/>
            </w:pPr>
            <w:r>
              <w:rPr>
                <w:rFonts w:ascii="Arial" w:cs="Arial" w:eastAsia="Arial" w:hAnsi="Arial"/>
                <w:i/>
                <w:iCs/>
                <w:color w:val="555555"/>
                <w:sz w:val="15"/>
                <w:szCs w:val="15"/>
              </w:rPr>
              <w:t xml:space="preserve">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Mujtaba, T., Sheldrake, R., Hodgen, J. m.fl. (2022). Focus for Teacher Assessment of Primary Science (Focus4TAPS): Evaluation report. Education Endowment Foundation.</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0,17</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0,17 [0,03; 0,32] i NO, 2 882 elever i 121 skolor</w:t>
            </w:r>
          </w:p>
          <w:p>
            <w:pPr>
              <w:keepNext w:val="false"/>
              <w:spacing w:after="20" w:line="240"/>
            </w:pPr>
            <w:hyperlink w:history="1" r:id="rIdtifrnstsz4d8e3dftpwsz">
              <w:r>
                <w:rPr>
                  <w:color w:val="0563C1"/>
                  <w:sz w:val="15"/>
                  <w:szCs w:val="15"/>
                  <w:u w:val="single" w:color="0563C1"/>
                </w:rPr>
                <w:t xml:space="preserve">discovery.ucl.ac.uk</w:t>
              </w:r>
            </w:hyperlink>
          </w:p>
          <w:p>
            <w:pPr>
              <w:keepNext w:val="false"/>
              <w:spacing w:after="0" w:line="240"/>
            </w:pPr>
            <w:r>
              <w:rPr>
                <w:rFonts w:ascii="Arial" w:cs="Arial" w:eastAsia="Arial" w:hAnsi="Arial"/>
                <w:i/>
                <w:iCs/>
                <w:color w:val="555555"/>
                <w:sz w:val="15"/>
                <w:szCs w:val="15"/>
              </w:rPr>
              <w:t xml:space="preserve">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Wiggins, M., Sawtell, M. och Jerrim, J. (2017). Learner Response System: Evaluation report and executive summary. Education Endowment Foundation.</w:t>
            </w:r>
          </w:p>
        </w:tc>
      </w:tr>
      <w:tr>
        <w:trPr>
          <w:cantSplit/>
        </w:trPr>
        <w:tc>
          <w:tcPr>
            <w:tcW w:type="dxa" w:w="1504"/>
            <w:gridSpan w:val="2"/>
            <w:tcBorders>
              <w:top w:val="single" w:color="D7DCE2" w:sz="4"/>
              <w:left w:val="single" w:color="2e75b6" w:sz="12"/>
              <w:bottom w:val="single" w:color="2e75b6" w:sz="12"/>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0,00</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0,00 och −0,04 i läsning, två årskullar, nationella prov, 97 skolor</w:t>
            </w:r>
          </w:p>
          <w:p>
            <w:pPr>
              <w:keepNext w:val="false"/>
              <w:spacing w:after="20" w:line="240"/>
            </w:pPr>
            <w:hyperlink w:history="1" r:id="rIdmefu715hidu5knoo8yftx">
              <w:r>
                <w:rPr>
                  <w:color w:val="0563C1"/>
                  <w:sz w:val="15"/>
                  <w:szCs w:val="15"/>
                  <w:u w:val="single" w:color="0563C1"/>
                </w:rPr>
                <w:t xml:space="preserve">ERIC ED581136</w:t>
              </w:r>
            </w:hyperlink>
          </w:p>
          <w:p>
            <w:pPr>
              <w:keepNext w:val="false"/>
              <w:spacing w:after="0" w:line="240"/>
            </w:pPr>
            <w:r>
              <w:rPr>
                <w:rFonts w:ascii="Arial" w:cs="Arial" w:eastAsia="Arial" w:hAnsi="Arial"/>
                <w:i/>
                <w:iCs/>
                <w:color w:val="555555"/>
                <w:sz w:val="15"/>
                <w:szCs w:val="15"/>
              </w:rPr>
              <w:t xml:space="preserve">Lärande totalt · Läsning · Matematik</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Övriga</w:t>
            </w:r>
            <w:r>
              <w:rPr>
                <w:rFonts w:ascii="Arial" w:cs="Arial" w:eastAsia="Arial" w:hAnsi="Arial"/>
                <w:color w:val="555555"/>
                <w:sz w:val="17"/>
                <w:szCs w:val="17"/>
              </w:rPr>
              <w:t xml:space="preserve">   Artiklar, översikter och klassrumsstudier som beskriver kärnan och lektionen.</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Det formativa sitter i att resultaten används för att ändra undervisningen (Black och Wiliam, 1998). I fysik på gymnasiet gav fortbildning med kamratsamtal mer än samma frågor, där läraren själv valde vad hen gjorde med svaren (Lichtenberger m.fl., 2025). Svenska matematiklärare samlade sällan in svar från alla (Andersson m.fl., 2017). Att alla visar samtidigt ger mer deltagande i små studier (Marsh m.fl., 2023), och i England var klassrumsbesöken svårast (Speckesser m.fl., 2018).</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Studie</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Andersson, C., Boström, E. och Palm, T. (2017). Formative assessment in Swedish mathematics classroom practice. Nordic Studies in Mathematics Education.</w:t>
            </w:r>
          </w:p>
          <w:p>
            <w:pPr>
              <w:keepNext w:val="false"/>
              <w:spacing w:after="20" w:line="240"/>
            </w:pPr>
            <w:r>
              <w:rPr>
                <w:color w:val="1a1a1a"/>
                <w:sz w:val="16"/>
                <w:szCs w:val="16"/>
              </w:rPr>
              <w:t xml:space="preserve">38 lärare samlade sällan in från alla och ändrade efter få</w:t>
            </w:r>
          </w:p>
          <w:p>
            <w:pPr>
              <w:keepNext w:val="false"/>
              <w:spacing w:after="20" w:line="240"/>
            </w:pPr>
            <w:hyperlink w:history="1" r:id="rId2ozgfxnsjavdcyv_w_-ks">
              <w:r>
                <w:rPr>
                  <w:color w:val="0563C1"/>
                  <w:sz w:val="15"/>
                  <w:szCs w:val="15"/>
                  <w:u w:val="single" w:color="0563C1"/>
                </w:rPr>
                <w:t xml:space="preserve">ncm.gu.se</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Black, P. och Wiliam, D. (1998). Assessment and classroom learning. Assessment in Education: Principles, Policy and Practice.</w:t>
            </w:r>
          </w:p>
          <w:p>
            <w:pPr>
              <w:keepNext w:val="false"/>
              <w:spacing w:after="20" w:line="240"/>
            </w:pPr>
            <w:r>
              <w:rPr>
                <w:color w:val="1a1a1a"/>
                <w:sz w:val="16"/>
                <w:szCs w:val="16"/>
              </w:rPr>
              <w:t xml:space="preserve">Grunden: resultaten måste ändra undervisningen</w:t>
            </w:r>
          </w:p>
          <w:p>
            <w:pPr>
              <w:keepNext w:val="false"/>
              <w:spacing w:after="20" w:line="240"/>
            </w:pPr>
            <w:hyperlink w:history="1" r:id="rId-bzoswouimf2axkjru1si">
              <w:r>
                <w:rPr>
                  <w:color w:val="0563C1"/>
                  <w:sz w:val="15"/>
                  <w:szCs w:val="15"/>
                  <w:u w:val="single" w:color="0563C1"/>
                </w:rPr>
                <w:t xml:space="preserve">DOI 10.1080/0969595980050102</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Studie</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Lichtenberger, A., Hofer, S. I., Stern, E. m.fl. (2025). Enhanced conceptual understanding through formative assessment: Results of a randomized controlled intervention study in physics classes. Educational Assessment, Evaluation and Accountability.</w:t>
            </w:r>
          </w:p>
          <w:p>
            <w:pPr>
              <w:keepNext w:val="false"/>
              <w:spacing w:after="20" w:line="240"/>
            </w:pPr>
            <w:r>
              <w:rPr>
                <w:color w:val="1a1a1a"/>
                <w:sz w:val="16"/>
                <w:szCs w:val="16"/>
              </w:rPr>
              <w:t xml:space="preserve">Frågorna ensamma gav ingen säker skillnad</w:t>
            </w:r>
          </w:p>
          <w:p>
            <w:pPr>
              <w:keepNext w:val="false"/>
              <w:spacing w:after="20" w:line="240"/>
            </w:pPr>
            <w:hyperlink w:history="1" r:id="rIdm-0djdnglbehpkamzkhkf">
              <w:r>
                <w:rPr>
                  <w:color w:val="0563C1"/>
                  <w:sz w:val="15"/>
                  <w:szCs w:val="15"/>
                  <w:u w:val="single" w:color="0563C1"/>
                </w:rPr>
                <w:t xml:space="preserve">DOI 10.1007/s11092-024-09445-6</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Metaanalys</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Marsh, R. J., Cumming, T. M., Randolph, J. J. m.fl. (2023). Updated meta-analysis of the research on response cards. Journal of Behavioral Education.</w:t>
            </w:r>
          </w:p>
          <w:p>
            <w:pPr>
              <w:keepNext w:val="false"/>
              <w:spacing w:after="20" w:line="240"/>
            </w:pPr>
            <w:r>
              <w:rPr>
                <w:color w:val="1a1a1a"/>
                <w:sz w:val="16"/>
                <w:szCs w:val="16"/>
              </w:rPr>
              <w:t xml:space="preserve">Svarskort: mer deltagande, utan jämförelsegrupp</w:t>
            </w:r>
          </w:p>
          <w:p>
            <w:pPr>
              <w:keepNext w:val="false"/>
              <w:spacing w:after="20" w:line="240"/>
            </w:pPr>
            <w:hyperlink w:history="1" r:id="rIdnnpu093cdxt1z445g-blv">
              <w:r>
                <w:rPr>
                  <w:color w:val="0563C1"/>
                  <w:sz w:val="15"/>
                  <w:szCs w:val="15"/>
                  <w:u w:val="single" w:color="0563C1"/>
                </w:rPr>
                <w:t xml:space="preserve">DOI 10.1007/s10864-021-09463-0</w:t>
              </w:r>
            </w:hyperlink>
          </w:p>
          <w:p>
            <w:pPr>
              <w:keepNext w:val="false"/>
              <w:spacing w:after="0" w:line="240"/>
            </w:pPr>
            <w:r>
              <w:rPr>
                <w:rFonts w:ascii="Arial" w:cs="Arial" w:eastAsia="Arial" w:hAnsi="Arial"/>
                <w:i/>
                <w:iCs/>
                <w:color w:val="555555"/>
                <w:sz w:val="15"/>
                <w:szCs w:val="15"/>
              </w:rPr>
              <w:t xml:space="preserve">Socialt</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Rapport</w:t>
            </w:r>
          </w:p>
        </w:tc>
        <w:tc>
          <w:tcPr>
            <w:tcW w:type="dxa" w:w="7525"/>
            <w:gridSpan w:val="10"/>
            <w:tcBorders>
              <w:top w:val="single" w:color="D7DCE2" w:sz="4"/>
              <w:left w:val="single" w:color="D7DCE2" w:sz="4"/>
              <w:bottom w:val="single" w:color="2e75b6" w:sz="12"/>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Speckesser, S., Runge, J., Foliano, F. m.fl. (2018). Embedding Formative Assessment: Evaluation report and executive summary. Education Endowment Foundation.</w:t>
            </w:r>
          </w:p>
          <w:p>
            <w:pPr>
              <w:keepNext w:val="false"/>
              <w:spacing w:after="20" w:line="240"/>
            </w:pPr>
            <w:r>
              <w:rPr>
                <w:color w:val="1a1a1a"/>
                <w:sz w:val="16"/>
                <w:szCs w:val="16"/>
              </w:rPr>
              <w:t xml:space="preserve">Lärare såg bättre uppförande, och kollegabesök var svårast</w:t>
            </w:r>
          </w:p>
          <w:p>
            <w:pPr>
              <w:keepNext w:val="false"/>
              <w:spacing w:after="20" w:line="240"/>
            </w:pPr>
            <w:hyperlink w:history="1" r:id="rIdtuot_pg824w2imm3ypvye">
              <w:r>
                <w:rPr>
                  <w:color w:val="0563C1"/>
                  <w:sz w:val="15"/>
                  <w:szCs w:val="15"/>
                  <w:u w:val="single" w:color="0563C1"/>
                </w:rPr>
                <w:t xml:space="preserve">dera.ioe.ac.uk</w:t>
              </w:r>
            </w:hyperlink>
          </w:p>
          <w:p>
            <w:pPr>
              <w:keepNext w:val="false"/>
              <w:spacing w:after="0" w:line="240"/>
            </w:pPr>
            <w:r>
              <w:rPr>
                <w:rFonts w:ascii="Arial" w:cs="Arial" w:eastAsia="Arial" w:hAnsi="Arial"/>
                <w:i/>
                <w:iCs/>
                <w:color w:val="555555"/>
                <w:sz w:val="15"/>
                <w:szCs w:val="15"/>
              </w:rPr>
              <w:t xml:space="preserve">Socialt</w:t>
            </w:r>
          </w:p>
        </w:tc>
      </w:tr>
    </w:tbl>
    <w:p>
      <w:pPr>
        <w:keepNext w:val="false"/>
        <w:spacing w:after="0" w:before="0" w:line="20" w:lineRule="exact"/>
      </w:pPr>
      <w:r>
        <w:rPr>
          <w:sz w:val="2"/>
          <w:szCs w:val="2"/>
        </w:rPr>
        <w:t xml:space="preserve"/>
      </w:r>
    </w:p>
    <w:sectPr>
      <w:headerReference w:type="default" r:id="rId7"/>
      <w:footerReference w:type="default" r:id="rId8"/>
      <w:pgSz w:w="11909" w:h="16834"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niclasfohlin.se/metoder/formativ-bedomning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Formativ bedömning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ajpdnajgo42o5p8bztrts" Type="http://schemas.openxmlformats.org/officeDocument/2006/relationships/hyperlink" Target="https://niclasfohlin.se/metoder/formativ-bedomning#metodkortet" TargetMode="External"/><Relationship Id="rIdzitzgnca-auins8yf5brs" Type="http://schemas.openxmlformats.org/officeDocument/2006/relationships/hyperlink" Target="https://doi.org/10.3102/0013189X20912798" TargetMode="External"/><Relationship Id="rIdo3nbkrdw2vmcgbtvrl-t7" Type="http://schemas.openxmlformats.org/officeDocument/2006/relationships/hyperlink" Target="https://doi.org/10.3102/0013189X16656615" TargetMode="External"/><Relationship Id="rIdwqc04ert-axn_hz49i-mt" Type="http://schemas.openxmlformats.org/officeDocument/2006/relationships/hyperlink" Target="https://doi.org/10.1086/681947" TargetMode="External"/><Relationship Id="rIddl6ucl7udujw7gh7fru0p" Type="http://schemas.openxmlformats.org/officeDocument/2006/relationships/hyperlink" Target="https://doi.org/10.1111/j.1745-3992.2011.00220.x" TargetMode="External"/><Relationship Id="rIdozxwvzo3k68z3mn4lbheq" Type="http://schemas.openxmlformats.org/officeDocument/2006/relationships/hyperlink" Target="https://eric.ed.gov/?id=ED572929" TargetMode="External"/><Relationship Id="rIddo1jpwwnwdqrf3es66k0h" Type="http://schemas.openxmlformats.org/officeDocument/2006/relationships/hyperlink" Target="https://doi.org/10.3389/fpsyg.2022.990196" TargetMode="External"/><Relationship Id="rIdb78snkivtfeg_lgctzt7i" Type="http://schemas.openxmlformats.org/officeDocument/2006/relationships/hyperlink" Target="https://doi.org/10.1080/13803611.2024.2363831" TargetMode="External"/><Relationship Id="rId3tly326y1rqr8vzw04v-e" Type="http://schemas.openxmlformats.org/officeDocument/2006/relationships/hyperlink" Target="https://doi.org/10.1080/19345747.2021.2018746" TargetMode="External"/><Relationship Id="rIdpqp_kwbjm8dixzttp_zth" Type="http://schemas.openxmlformats.org/officeDocument/2006/relationships/hyperlink" Target="https://doi.org/10.1016/j.learninstruc.2016.12.006" TargetMode="External"/><Relationship Id="rIdyvtvpi2lamzmumgjino1y" Type="http://schemas.openxmlformats.org/officeDocument/2006/relationships/hyperlink" Target="https://doi.org/10.3389/feduc.2023.1101192" TargetMode="External"/><Relationship Id="rIdtifrnstsz4d8e3dftpwsz" Type="http://schemas.openxmlformats.org/officeDocument/2006/relationships/hyperlink" Target="https://discovery.ucl.ac.uk/10161783/1/Focus4TAPS-Report.pdf" TargetMode="External"/><Relationship Id="rIdmefu715hidu5knoo8yftx" Type="http://schemas.openxmlformats.org/officeDocument/2006/relationships/hyperlink" Target="https://eric.ed.gov/?id=ED581136" TargetMode="External"/><Relationship Id="rId2ozgfxnsjavdcyv_w_-ks" Type="http://schemas.openxmlformats.org/officeDocument/2006/relationships/hyperlink" Target="https://ncm.gu.se/wp-content/uploads/2020/06/22_1_005020_andersson.pdf" TargetMode="External"/><Relationship Id="rId-bzoswouimf2axkjru1si" Type="http://schemas.openxmlformats.org/officeDocument/2006/relationships/hyperlink" Target="https://doi.org/10.1080/0969595980050102" TargetMode="External"/><Relationship Id="rIdm-0djdnglbehpkamzkhkf" Type="http://schemas.openxmlformats.org/officeDocument/2006/relationships/hyperlink" Target="https://doi.org/10.1007/s11092-024-09445-6" TargetMode="External"/><Relationship Id="rIdnnpu093cdxt1z445g-blv" Type="http://schemas.openxmlformats.org/officeDocument/2006/relationships/hyperlink" Target="https://doi.org/10.1007/s10864-021-09463-0" TargetMode="External"/><Relationship Id="rIdtuot_pg824w2imm3ypvye" Type="http://schemas.openxmlformats.org/officeDocument/2006/relationships/hyperlink" Target="https://dera.ioe.ac.uk//32012/1/EFA_evaluation_report.pdf"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2026-11-04T05:20:42.779Z</dcterms:created>
  <dcterms:modified xsi:type="dcterms:W3CDTF">2026-11-04T05:20:42.779Z</dcterms:modified>
</cp:coreProperties>
</file>

<file path=docProps/custom.xml><?xml version="1.0" encoding="utf-8"?>
<Properties xmlns="http://schemas.openxmlformats.org/officeDocument/2006/custom-properties" xmlns:vt="http://schemas.openxmlformats.org/officeDocument/2006/docPropsVTypes"/>
</file>