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328"/>
        <w:gridCol w:w="3141"/>
      </w:tblGrid>
      <w:tr>
        <w:trPr>
          <w:cantSplit/>
        </w:trPr>
        <w:tc>
          <w:tcPr>
            <w:tcW w:type="dxa" w:w="7328"/>
            <w:vMerge w:val="restart"/>
            <w:tcBorders>
              <w:top w:val="none" w:color="FFFFFF" w:sz="0"/>
              <w:left w:val="none" w:color="FFFFFF" w:sz="0"/>
              <w:bottom w:val="none" w:color="FFFFFF" w:sz="0"/>
              <w:right w:val="none" w:color="FFFFFF" w:sz="0"/>
            </w:tcBorders>
            <w:tcMar>
              <w:top w:type="dxa" w:w="0"/>
              <w:left w:type="dxa" w:w="0"/>
              <w:bottom w:type="dxa" w:w="0"/>
              <w:right w:type="dxa" w:w="120"/>
            </w:tcMar>
            <w:vAlign w:val="center"/>
          </w:tcPr>
          <w:p>
            <w:pPr>
              <w:spacing w:after="0" w:before="0" w:line="240"/>
            </w:pPr>
            <w:r>
              <w:rPr>
                <w:rFonts w:ascii="Arial" w:cs="Arial" w:eastAsia="Arial" w:hAnsi="Arial"/>
                <w:b/>
                <w:bCs/>
                <w:color w:val="1f5c99"/>
                <w:sz w:val="44"/>
                <w:szCs w:val="44"/>
              </w:rPr>
              <w:t xml:space="preserve">Kooperativt lärande</w:t>
            </w:r>
          </w:p>
        </w:tc>
        <w:tc>
          <w:tcPr>
            <w:tcW w:type="dxa" w:w="3141"/>
            <w:tcBorders>
              <w:top w:val="single" w:color="1f5c99" w:sz="4"/>
              <w:left w:val="single" w:color="1f5c99" w:sz="4"/>
              <w:bottom w:val="single" w:color="1f5c99" w:sz="4"/>
              <w:right w:val="single" w:color="1f5c99" w:sz="4"/>
            </w:tcBorders>
            <w:shd w:fill="1f5c99" w:color="auto" w:val="clear"/>
            <w:tcMar>
              <w:top w:type="dxa" w:w="45"/>
              <w:left w:type="dxa" w:w="110"/>
              <w:bottom w:type="dxa" w:w="45"/>
              <w:right w:type="dxa" w:w="110"/>
            </w:tcMar>
            <w:vAlign w:val="center"/>
          </w:tcPr>
          <w:p>
            <w:pPr>
              <w:spacing w:after="0" w:before="0" w:line="240"/>
              <w:jc w:val="center"/>
            </w:pPr>
            <w:r>
              <w:rPr>
                <w:rFonts w:ascii="Arial" w:cs="Arial" w:eastAsia="Arial" w:hAnsi="Arial"/>
                <w:b/>
                <w:bCs/>
                <w:color w:val="FFFFFF"/>
                <w:sz w:val="21"/>
                <w:szCs w:val="21"/>
              </w:rPr>
              <w:t xml:space="preserve">Lektionskort</w:t>
            </w:r>
          </w:p>
        </w:tc>
      </w:tr>
      <w:tr>
        <w:trPr>
          <w:cantSplit/>
        </w:trPr>
        <w:tc>
          <w:tcPr>
            <w:vMerge w:val="continue"/>
            <w:tcBorders>
              <w:top w:val="none" w:color="FFFFFF" w:sz="0"/>
              <w:left w:val="none" w:color="FFFFFF" w:sz="0"/>
              <w:bottom w:val="none" w:color="FFFFFF" w:sz="0"/>
              <w:right w:val="none" w:color="FFFFFF" w:sz="0"/>
            </w:tcBorders>
          </w:tcPr>
          <w:p/>
        </w:tc>
        <w:tc>
          <w:tcPr>
            <w:tcW w:type="dxa" w:w="3141"/>
            <w:tcBorders>
              <w:top w:val="none" w:color="FFFFFF" w:sz="0"/>
              <w:left w:val="none" w:color="FFFFFF" w:sz="0"/>
              <w:bottom w:val="none" w:color="FFFFFF" w:sz="0"/>
              <w:right w:val="none" w:color="FFFFFF" w:sz="0"/>
            </w:tcBorders>
            <w:shd w:fill="FFFFFF" w:color="auto" w:val="clear"/>
            <w:tcMar>
              <w:top w:type="dxa" w:w="45"/>
              <w:left w:type="dxa" w:w="110"/>
              <w:bottom w:type="dxa" w:w="45"/>
              <w:right w:type="dxa" w:w="110"/>
            </w:tcMar>
            <w:vAlign w:val="center"/>
          </w:tcPr>
          <w:p>
            <w:pPr>
              <w:spacing w:after="0" w:before="0" w:line="240"/>
              <w:jc w:val="center"/>
            </w:pPr>
            <w:r>
              <w:rPr>
                <w:rFonts w:ascii="Arial" w:cs="Arial" w:eastAsia="Arial" w:hAnsi="Arial"/>
                <w:color w:val="1a1a1a"/>
                <w:sz w:val="18"/>
                <w:szCs w:val="18"/>
              </w:rPr>
              <w:t xml:space="preserve">F–9 · 45 minuter · hela klassen · paren och bordsöarna</w:t>
            </w:r>
          </w:p>
        </w:tc>
      </w:tr>
    </w:tbl>
    <w:p>
      <w:pPr>
        <w:spacing w:after="8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94"/>
        <w:gridCol w:w="2094"/>
        <w:gridCol w:w="2094"/>
        <w:gridCol w:w="2094"/>
        <w:gridCol w:w="2093"/>
      </w:tblGrid>
      <w:tr>
        <w:trPr>
          <w:cantSplit/>
        </w:trPr>
        <w:tc>
          <w:tcPr>
            <w:tcW w:type="dxa" w:w="2094"/>
            <w:tcBorders>
              <w:top w:val="single" w:color="2e75b6" w:sz="18"/>
              <w:left w:val="single" w:color="d6e4f0" w:sz="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pPr>
            <w:r>
              <w:rPr>
                <w:rFonts w:ascii="Arial" w:cs="Arial" w:eastAsia="Arial" w:hAnsi="Arial"/>
                <w:b/>
                <w:bCs/>
                <w:color w:val="1f5c99"/>
                <w:sz w:val="17"/>
                <w:szCs w:val="17"/>
              </w:rPr>
              <w:t xml:space="preserve">1 Samarbetsfärdigheter</w:t>
            </w:r>
          </w:p>
          <w:p>
            <w:pPr>
              <w:spacing w:after="0" w:before="0" w:line="240"/>
            </w:pPr>
            <w:r>
              <w:rPr>
                <w:rFonts w:ascii="Arial" w:cs="Arial" w:eastAsia="Arial" w:hAnsi="Arial"/>
                <w:color w:val="1a1a1a"/>
                <w:sz w:val="17"/>
                <w:szCs w:val="17"/>
              </w:rPr>
              <w:t xml:space="preserve">T-kortet: hur färdigheten ser ut och låter. Visa den med kropp och röst, och klassen övar.</w:t>
            </w:r>
          </w:p>
        </w:tc>
        <w:tc>
          <w:tcPr>
            <w:tcW w:type="dxa" w:w="2094"/>
            <w:tcBorders>
              <w:top w:val="single" w:color="2e75b6" w:sz="18"/>
              <w:left w:val="single" w:color="FFFFFF" w:sz="2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pPr>
            <w:r>
              <w:rPr>
                <w:rFonts w:ascii="Arial" w:cs="Arial" w:eastAsia="Arial" w:hAnsi="Arial"/>
                <w:b/>
                <w:bCs/>
                <w:color w:val="1f5c99"/>
                <w:sz w:val="17"/>
                <w:szCs w:val="17"/>
              </w:rPr>
              <w:t xml:space="preserve">2 Positivt ömsesidigt beroende</w:t>
            </w:r>
          </w:p>
          <w:p>
            <w:pPr>
              <w:spacing w:after="0" w:before="0" w:line="240"/>
            </w:pPr>
            <w:r>
              <w:rPr>
                <w:rFonts w:ascii="Arial" w:cs="Arial" w:eastAsia="Arial" w:hAnsi="Arial"/>
                <w:color w:val="1a1a1a"/>
                <w:sz w:val="17"/>
                <w:szCs w:val="17"/>
              </w:rPr>
              <w:t xml:space="preserve">Alla i paret eller gruppen behöver varandra för att nå målet.</w:t>
            </w:r>
          </w:p>
        </w:tc>
        <w:tc>
          <w:tcPr>
            <w:tcW w:type="dxa" w:w="2094"/>
            <w:tcBorders>
              <w:top w:val="single" w:color="2e75b6" w:sz="18"/>
              <w:left w:val="single" w:color="FFFFFF" w:sz="2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pPr>
            <w:r>
              <w:rPr>
                <w:rFonts w:ascii="Arial" w:cs="Arial" w:eastAsia="Arial" w:hAnsi="Arial"/>
                <w:b/>
                <w:bCs/>
                <w:color w:val="1f5c99"/>
                <w:sz w:val="17"/>
                <w:szCs w:val="17"/>
              </w:rPr>
              <w:t xml:space="preserve">3 Eget ansvar</w:t>
            </w:r>
          </w:p>
          <w:p>
            <w:pPr>
              <w:spacing w:after="0" w:before="0" w:line="240"/>
            </w:pPr>
            <w:r>
              <w:rPr>
                <w:rFonts w:ascii="Arial" w:cs="Arial" w:eastAsia="Arial" w:hAnsi="Arial"/>
                <w:color w:val="1a1a1a"/>
                <w:sz w:val="17"/>
                <w:szCs w:val="17"/>
              </w:rPr>
              <w:t xml:space="preserve">Vem som helst kan få visa. Slumpa på riktigt.</w:t>
            </w:r>
          </w:p>
        </w:tc>
        <w:tc>
          <w:tcPr>
            <w:tcW w:type="dxa" w:w="2094"/>
            <w:tcBorders>
              <w:top w:val="single" w:color="2e75b6" w:sz="18"/>
              <w:left w:val="single" w:color="FFFFFF" w:sz="2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pPr>
            <w:r>
              <w:rPr>
                <w:rFonts w:ascii="Arial" w:cs="Arial" w:eastAsia="Arial" w:hAnsi="Arial"/>
                <w:b/>
                <w:bCs/>
                <w:color w:val="1f5c99"/>
                <w:sz w:val="17"/>
                <w:szCs w:val="17"/>
              </w:rPr>
              <w:t xml:space="preserve">4 Delaktighet och stödjande interaktion</w:t>
            </w:r>
          </w:p>
          <w:p>
            <w:pPr>
              <w:spacing w:after="0" w:before="0" w:line="240"/>
            </w:pPr>
            <w:r>
              <w:rPr>
                <w:rFonts w:ascii="Arial" w:cs="Arial" w:eastAsia="Arial" w:hAnsi="Arial"/>
                <w:color w:val="1a1a1a"/>
                <w:sz w:val="17"/>
                <w:szCs w:val="17"/>
              </w:rPr>
              <w:t xml:space="preserve">Alla tänker först, och strukturen ger alla en tur.</w:t>
            </w:r>
          </w:p>
        </w:tc>
        <w:tc>
          <w:tcPr>
            <w:tcW w:type="dxa" w:w="2093"/>
            <w:tcBorders>
              <w:top w:val="single" w:color="2e75b6" w:sz="18"/>
              <w:left w:val="single" w:color="FFFFFF" w:sz="24"/>
              <w:bottom w:val="single" w:color="d6e4f0" w:sz="4"/>
              <w:right w:val="single" w:color="d6e4f0" w:sz="4"/>
            </w:tcBorders>
            <w:shd w:fill="f8fbfd" w:color="auto" w:val="clear"/>
            <w:tcMar>
              <w:top w:type="dxa" w:w="90"/>
              <w:left w:type="dxa" w:w="130"/>
              <w:bottom w:type="dxa" w:w="90"/>
              <w:right w:type="dxa" w:w="110"/>
            </w:tcMar>
            <w:vAlign w:val="top"/>
          </w:tcPr>
          <w:p>
            <w:pPr>
              <w:spacing w:after="30" w:before="0" w:line="240"/>
            </w:pPr>
            <w:r>
              <w:rPr>
                <w:rFonts w:ascii="Arial" w:cs="Arial" w:eastAsia="Arial" w:hAnsi="Arial"/>
                <w:b/>
                <w:bCs/>
                <w:color w:val="1f5c99"/>
                <w:sz w:val="17"/>
                <w:szCs w:val="17"/>
              </w:rPr>
              <w:t xml:space="preserve">5 Återkoppling och reflektion</w:t>
            </w:r>
          </w:p>
          <w:p>
            <w:pPr>
              <w:spacing w:after="0" w:before="0" w:line="240"/>
            </w:pPr>
            <w:r>
              <w:rPr>
                <w:rFonts w:ascii="Arial" w:cs="Arial" w:eastAsia="Arial" w:hAnsi="Arial"/>
                <w:color w:val="1a1a1a"/>
                <w:sz w:val="17"/>
                <w:szCs w:val="17"/>
              </w:rPr>
              <w:t xml:space="preserve">Säg vad du såg. Paren säger vad som hjälpte och vad de gör bättre.</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94"/>
        <w:gridCol w:w="4816"/>
        <w:gridCol w:w="3559"/>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pPr>
            <w:r>
              <w:rPr>
                <w:rFonts w:ascii="Arial" w:cs="Arial" w:eastAsia="Arial" w:hAnsi="Arial"/>
                <w:b/>
                <w:bCs/>
                <w:color w:val="FFFFFF"/>
                <w:sz w:val="23"/>
                <w:szCs w:val="23"/>
              </w:rPr>
              <w:t xml:space="preserve">Lektionen</w:t>
            </w:r>
            <w:r>
              <w:rPr>
                <w:rFonts w:ascii="Arial" w:cs="Arial" w:eastAsia="Arial" w:hAnsi="Arial"/>
                <w:color w:val="DCE8F5"/>
                <w:sz w:val="18"/>
                <w:szCs w:val="18"/>
              </w:rPr>
              <w:t xml:space="preserve">   Fråga dig: Vad ser och hör jag? Behöver de varandra? Vem säger jag det till?</w:t>
            </w:r>
          </w:p>
        </w:tc>
      </w:tr>
      <w:tr>
        <w:trPr>
          <w:cantSplit/>
        </w:trPr>
        <w:tc>
          <w:tcPr>
            <w:tcW w:type="dxa" w:w="2094"/>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pPr>
            <w:r>
              <w:rPr>
                <w:rFonts w:ascii="Arial" w:cs="Arial" w:eastAsia="Arial" w:hAnsi="Arial"/>
                <w:b/>
                <w:bCs/>
                <w:color w:val="1f5c99"/>
                <w:sz w:val="17"/>
                <w:szCs w:val="17"/>
              </w:rPr>
              <w:t xml:space="preserve">Delen</w:t>
            </w:r>
          </w:p>
        </w:tc>
        <w:tc>
          <w:tcPr>
            <w:tcW w:type="dxa" w:w="4816"/>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pPr>
            <w:r>
              <w:rPr>
                <w:rFonts w:ascii="Arial" w:cs="Arial" w:eastAsia="Arial" w:hAnsi="Arial"/>
                <w:b/>
                <w:bCs/>
                <w:color w:val="1f5c99"/>
                <w:sz w:val="17"/>
                <w:szCs w:val="17"/>
              </w:rPr>
              <w:t xml:space="preserve">Så leder du</w:t>
            </w:r>
          </w:p>
        </w:tc>
        <w:tc>
          <w:tcPr>
            <w:tcW w:type="dxa" w:w="3559"/>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pPr>
            <w:r>
              <w:rPr>
                <w:rFonts w:ascii="Arial" w:cs="Arial" w:eastAsia="Arial" w:hAnsi="Arial"/>
                <w:b/>
                <w:bCs/>
                <w:color w:val="1f5c99"/>
                <w:sz w:val="17"/>
                <w:szCs w:val="17"/>
              </w:rPr>
              <w:t xml:space="preserve">Du säger, till exempel</w:t>
            </w:r>
          </w:p>
        </w:tc>
      </w:tr>
      <w:tr>
        <w:trPr>
          <w:cantSplit/>
        </w:trPr>
        <w:tc>
          <w:tcPr>
            <w:tcW w:type="dxa" w:w="209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b/>
                <w:bCs/>
                <w:color w:val="1f5c99"/>
                <w:sz w:val="20"/>
                <w:szCs w:val="20"/>
              </w:rPr>
              <w:t xml:space="preserve">Före lektionen</w:t>
            </w:r>
          </w:p>
        </w:tc>
        <w:tc>
          <w:tcPr>
            <w:tcW w:type="dxa" w:w="8375"/>
            <w:gridSpan w:val="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19"/>
                <w:szCs w:val="19"/>
              </w:rPr>
              <w:t xml:space="preserve">Välj strukturen, färdigheten, målet, hur var och en visar och frågorna till reflektionen. Kan en elev lösa uppgiften ensam? Bygg uppgiften så att varje elev behövs och alla kan innehållet.</w:t>
            </w:r>
          </w:p>
        </w:tc>
      </w:tr>
      <w:tr>
        <w:trPr>
          <w:cantSplit/>
        </w:trPr>
        <w:tc>
          <w:tcPr>
            <w:tcW w:type="dxa" w:w="209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b/>
                <w:bCs/>
                <w:color w:val="1f5c99"/>
                <w:sz w:val="20"/>
                <w:szCs w:val="20"/>
              </w:rPr>
              <w:t xml:space="preserve">Start</w:t>
            </w:r>
          </w:p>
          <w:p>
            <w:pPr>
              <w:spacing w:after="0" w:before="0" w:line="240"/>
            </w:pPr>
            <w:r>
              <w:rPr>
                <w:rFonts w:ascii="Arial" w:cs="Arial" w:eastAsia="Arial" w:hAnsi="Arial"/>
                <w:b w:val="false"/>
                <w:bCs w:val="false"/>
                <w:color w:val="555555"/>
                <w:sz w:val="16"/>
                <w:szCs w:val="16"/>
              </w:rPr>
              <w:t xml:space="preserve">0–⁠5 min · i par</w:t>
            </w:r>
          </w:p>
        </w:tc>
        <w:tc>
          <w:tcPr>
            <w:tcW w:type="dxa" w:w="4816"/>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19"/>
                <w:szCs w:val="19"/>
              </w:rPr>
              <w:t xml:space="preserve">Paren vänder sig mot varandra och hälsar. Visa veckans färdighet med T-kortet och med kropp och röst. Paren säger färdighetens fras till varandra.</w:t>
            </w:r>
          </w:p>
        </w:tc>
        <w:tc>
          <w:tcPr>
            <w:tcW w:type="dxa" w:w="355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19"/>
                <w:szCs w:val="19"/>
              </w:rPr>
              <w:t xml:space="preserve">”Vänd er mot er kompis och säg hej med namnet.”</w:t>
            </w:r>
          </w:p>
          <w:p>
            <w:pPr>
              <w:spacing w:after="0" w:before="0" w:line="240"/>
            </w:pPr>
            <w:r>
              <w:rPr>
                <w:rFonts w:ascii="Arial" w:cs="Arial" w:eastAsia="Arial" w:hAnsi="Arial"/>
                <w:color w:val="1a1a1a"/>
                <w:sz w:val="19"/>
                <w:szCs w:val="19"/>
              </w:rPr>
              <w:t xml:space="preserve">”Jag vill se … Jag vill höra …”</w:t>
            </w:r>
          </w:p>
        </w:tc>
      </w:tr>
      <w:tr>
        <w:trPr>
          <w:cantSplit/>
        </w:trPr>
        <w:tc>
          <w:tcPr>
            <w:tcW w:type="dxa" w:w="209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b/>
                <w:bCs/>
                <w:color w:val="1f5c99"/>
                <w:sz w:val="20"/>
                <w:szCs w:val="20"/>
              </w:rPr>
              <w:t xml:space="preserve">Genomgång</w:t>
            </w:r>
          </w:p>
          <w:p>
            <w:pPr>
              <w:spacing w:after="0" w:before="0" w:line="240"/>
            </w:pPr>
            <w:r>
              <w:rPr>
                <w:rFonts w:ascii="Arial" w:cs="Arial" w:eastAsia="Arial" w:hAnsi="Arial"/>
                <w:b w:val="false"/>
                <w:bCs w:val="false"/>
                <w:color w:val="555555"/>
                <w:sz w:val="16"/>
                <w:szCs w:val="16"/>
              </w:rPr>
              <w:t xml:space="preserve">5–⁠15 min · du visar</w:t>
            </w:r>
          </w:p>
        </w:tc>
        <w:tc>
          <w:tcPr>
            <w:tcW w:type="dxa" w:w="4816"/>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19"/>
                <w:szCs w:val="19"/>
              </w:rPr>
              <w:t xml:space="preserve">Gå igenom innehållet. Visa strukturen med en elev. Skriv målet på tavlan, och säg hur var och en visar.</w:t>
            </w:r>
          </w:p>
        </w:tc>
        <w:tc>
          <w:tcPr>
            <w:tcW w:type="dxa" w:w="355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19"/>
                <w:szCs w:val="19"/>
              </w:rPr>
              <w:t xml:space="preserve">”Ni är klara när båda kan förklara …”</w:t>
            </w:r>
          </w:p>
          <w:p>
            <w:pPr>
              <w:spacing w:after="0" w:before="0" w:line="240"/>
            </w:pPr>
            <w:r>
              <w:rPr>
                <w:rFonts w:ascii="Arial" w:cs="Arial" w:eastAsia="Arial" w:hAnsi="Arial"/>
                <w:color w:val="1a1a1a"/>
                <w:sz w:val="19"/>
                <w:szCs w:val="19"/>
              </w:rPr>
              <w:t xml:space="preserve">”Sedan drar jag en symbol ur skålen.”</w:t>
            </w:r>
          </w:p>
        </w:tc>
      </w:tr>
      <w:tr>
        <w:trPr>
          <w:cantSplit/>
        </w:trPr>
        <w:tc>
          <w:tcPr>
            <w:tcW w:type="dxa" w:w="209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b/>
                <w:bCs/>
                <w:color w:val="1f5c99"/>
                <w:sz w:val="20"/>
                <w:szCs w:val="20"/>
              </w:rPr>
              <w:t xml:space="preserve">Samarbetet</w:t>
            </w:r>
          </w:p>
          <w:p>
            <w:pPr>
              <w:spacing w:after="0" w:before="0" w:line="240"/>
            </w:pPr>
            <w:r>
              <w:rPr>
                <w:rFonts w:ascii="Arial" w:cs="Arial" w:eastAsia="Arial" w:hAnsi="Arial"/>
                <w:b w:val="false"/>
                <w:bCs w:val="false"/>
                <w:color w:val="555555"/>
                <w:sz w:val="16"/>
                <w:szCs w:val="16"/>
              </w:rPr>
              <w:t xml:space="preserve">15–⁠32 min · i par, bordsön i vecka 4–⁠5</w:t>
            </w:r>
          </w:p>
        </w:tc>
        <w:tc>
          <w:tcPr>
            <w:tcW w:type="dxa" w:w="4816"/>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19"/>
                <w:szCs w:val="19"/>
              </w:rPr>
              <w:t xml:space="preserve">Alla tänker först, och paren arbetar i strukturen. Gå mellan paren, lyssna efter färdigheten och felet, anteckna och säg vad du hör. Stoppa halvvägs: färdigheten och målet.</w:t>
            </w:r>
          </w:p>
        </w:tc>
        <w:tc>
          <w:tcPr>
            <w:tcW w:type="dxa" w:w="355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19"/>
                <w:szCs w:val="19"/>
              </w:rPr>
              <w:t xml:space="preserve">”Tänk själv en stund.”</w:t>
            </w:r>
          </w:p>
          <w:p>
            <w:pPr>
              <w:spacing w:after="0" w:before="0" w:line="240"/>
            </w:pPr>
            <w:r>
              <w:rPr>
                <w:rFonts w:ascii="Arial" w:cs="Arial" w:eastAsia="Arial" w:hAnsi="Arial"/>
                <w:color w:val="1a1a1a"/>
                <w:sz w:val="19"/>
                <w:szCs w:val="19"/>
              </w:rPr>
              <w:t xml:space="preserve">”Jag hör att ni frågar varandra: Hur tänkte du?”</w:t>
            </w:r>
          </w:p>
          <w:p>
            <w:pPr>
              <w:spacing w:after="0" w:before="0" w:line="240"/>
            </w:pPr>
            <w:r>
              <w:rPr>
                <w:rFonts w:ascii="Arial" w:cs="Arial" w:eastAsia="Arial" w:hAnsi="Arial"/>
                <w:color w:val="1a1a1a"/>
                <w:sz w:val="19"/>
                <w:szCs w:val="19"/>
              </w:rPr>
              <w:t xml:space="preserve">”Kan vi se och höra att den används?”</w:t>
            </w:r>
          </w:p>
        </w:tc>
      </w:tr>
      <w:tr>
        <w:trPr>
          <w:cantSplit/>
        </w:trPr>
        <w:tc>
          <w:tcPr>
            <w:tcW w:type="dxa" w:w="209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b/>
                <w:bCs/>
                <w:color w:val="1f5c99"/>
                <w:sz w:val="20"/>
                <w:szCs w:val="20"/>
              </w:rPr>
              <w:t xml:space="preserve">Var och en visar</w:t>
            </w:r>
          </w:p>
          <w:p>
            <w:pPr>
              <w:spacing w:after="0" w:before="0" w:line="240"/>
            </w:pPr>
            <w:r>
              <w:rPr>
                <w:rFonts w:ascii="Arial" w:cs="Arial" w:eastAsia="Arial" w:hAnsi="Arial"/>
                <w:b w:val="false"/>
                <w:bCs w:val="false"/>
                <w:color w:val="555555"/>
                <w:sz w:val="16"/>
                <w:szCs w:val="16"/>
              </w:rPr>
              <w:t xml:space="preserve">32–⁠40 min · var och en</w:t>
            </w:r>
          </w:p>
        </w:tc>
        <w:tc>
          <w:tcPr>
            <w:tcW w:type="dxa" w:w="4816"/>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19"/>
                <w:szCs w:val="19"/>
              </w:rPr>
              <w:t xml:space="preserve">Paret eller bordsön gör alla redo. Dra en symbol ur skålen, och ge grupperna en stund till. En eller två med symbolen förklarar. Sedan gör alla en egen uppgift och håller upp den.</w:t>
            </w:r>
          </w:p>
        </w:tc>
        <w:tc>
          <w:tcPr>
            <w:tcW w:type="dxa" w:w="355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19"/>
                <w:szCs w:val="19"/>
              </w:rPr>
              <w:t xml:space="preserve">”Ni har en minut att göra alla redo.”</w:t>
            </w:r>
          </w:p>
          <w:p>
            <w:pPr>
              <w:spacing w:after="0" w:before="0" w:line="240"/>
            </w:pPr>
            <w:r>
              <w:rPr>
                <w:rFonts w:ascii="Arial" w:cs="Arial" w:eastAsia="Arial" w:hAnsi="Arial"/>
                <w:color w:val="1a1a1a"/>
                <w:sz w:val="19"/>
                <w:szCs w:val="19"/>
              </w:rPr>
              <w:t xml:space="preserve">”Alla trianglar, ställ er upp.”</w:t>
            </w:r>
          </w:p>
        </w:tc>
      </w:tr>
      <w:tr>
        <w:trPr>
          <w:cantSplit/>
        </w:trPr>
        <w:tc>
          <w:tcPr>
            <w:tcW w:type="dxa" w:w="209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b/>
                <w:bCs/>
                <w:color w:val="1f5c99"/>
                <w:sz w:val="20"/>
                <w:szCs w:val="20"/>
              </w:rPr>
              <w:t xml:space="preserve">Avslut</w:t>
            </w:r>
          </w:p>
          <w:p>
            <w:pPr>
              <w:spacing w:after="0" w:before="0" w:line="240"/>
            </w:pPr>
            <w:r>
              <w:rPr>
                <w:rFonts w:ascii="Arial" w:cs="Arial" w:eastAsia="Arial" w:hAnsi="Arial"/>
                <w:b w:val="false"/>
                <w:bCs w:val="false"/>
                <w:color w:val="555555"/>
                <w:sz w:val="16"/>
                <w:szCs w:val="16"/>
              </w:rPr>
              <w:t xml:space="preserve">40–⁠45 min · i par</w:t>
            </w:r>
          </w:p>
        </w:tc>
        <w:tc>
          <w:tcPr>
            <w:tcW w:type="dxa" w:w="4816"/>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19"/>
                <w:szCs w:val="19"/>
              </w:rPr>
              <w:t xml:space="preserve">Paren säger vad som hjälpte och vad de gör bättre. Säg vad du såg, och sist tackar de varandra.</w:t>
            </w:r>
          </w:p>
        </w:tc>
        <w:tc>
          <w:tcPr>
            <w:tcW w:type="dxa" w:w="355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19"/>
                <w:szCs w:val="19"/>
              </w:rPr>
              <w:t xml:space="preserve">”Vad hjälpte er att lära er? Vad gör ni bättre nästa gång?”</w:t>
            </w:r>
          </w:p>
        </w:tc>
      </w:tr>
      <w:tr>
        <w:trPr>
          <w:cantSplit/>
        </w:trPr>
        <w:tc>
          <w:tcPr>
            <w:tcW w:type="dxa" w:w="209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b/>
                <w:bCs/>
                <w:color w:val="1f5c99"/>
                <w:sz w:val="20"/>
                <w:szCs w:val="20"/>
              </w:rPr>
              <w:t xml:space="preserve">Efter lektionen</w:t>
            </w:r>
          </w:p>
        </w:tc>
        <w:tc>
          <w:tcPr>
            <w:tcW w:type="dxa" w:w="8375"/>
            <w:gridSpan w:val="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19"/>
                <w:szCs w:val="19"/>
              </w:rPr>
              <w:t xml:space="preserve">Läs dina anteckningar om den egna uppgiften, färdigheten och felet. Välj utifrån dem vad nästa samarbete börjar med och vem du går till först.</w:t>
            </w:r>
          </w:p>
        </w:tc>
      </w:tr>
    </w:tbl>
    <w:p>
      <w:pPr>
        <w:spacing w:after="0" w:before="70" w:line="240"/>
      </w:pPr>
      <w:r>
        <w:rPr>
          <w:rFonts w:ascii="Arial" w:cs="Arial" w:eastAsia="Arial" w:hAnsi="Arial"/>
          <w:color w:val="1a1a1a"/>
          <w:sz w:val="18"/>
          <w:szCs w:val="18"/>
        </w:rPr>
        <w:t xml:space="preserve">Strukturen står på sitt strukturkort: Ping-pong-prat, EPA, Turas om, Huvuden ihop, Mötas på mitten eller Rondellen.</w:t>
      </w:r>
    </w:p>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769"/>
        <w:gridCol w:w="6700"/>
      </w:tblGrid>
      <w:tr>
        <w:trPr>
          <w:cantSplit/>
        </w:trPr>
        <w:tc>
          <w:tcPr>
            <w:tcW w:type="dxa" w:w="10469"/>
            <w:gridSpan w:val="2"/>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pPr>
            <w:r>
              <w:rPr>
                <w:rFonts w:ascii="Arial" w:cs="Arial" w:eastAsia="Arial" w:hAnsi="Arial"/>
                <w:b/>
                <w:bCs/>
                <w:color w:val="FFFFFF"/>
                <w:sz w:val="23"/>
                <w:szCs w:val="23"/>
              </w:rPr>
              <w:t xml:space="preserve">Här ser du om de är redo</w:t>
            </w:r>
            <w:r>
              <w:rPr>
                <w:rFonts w:ascii="Arial" w:cs="Arial" w:eastAsia="Arial" w:hAnsi="Arial"/>
                <w:color w:val="DCE8F5"/>
                <w:sz w:val="18"/>
                <w:szCs w:val="18"/>
              </w:rPr>
              <w:t xml:space="preserve">   Alla gör en egen uppgift på minitavlan och håller upp den. Räkna dem med fel.</w:t>
            </w:r>
          </w:p>
        </w:tc>
      </w:tr>
      <w:tr>
        <w:trPr>
          <w:cantSplit/>
        </w:trPr>
        <w:tc>
          <w:tcPr>
            <w:tcW w:type="dxa" w:w="3769"/>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pPr>
            <w:r>
              <w:rPr>
                <w:rFonts w:ascii="Arial" w:cs="Arial" w:eastAsia="Arial" w:hAnsi="Arial"/>
                <w:b/>
                <w:bCs/>
                <w:color w:val="1f5c99"/>
                <w:sz w:val="17"/>
                <w:szCs w:val="17"/>
              </w:rPr>
              <w:t xml:space="preserve">Utfallet</w:t>
            </w:r>
          </w:p>
        </w:tc>
        <w:tc>
          <w:tcPr>
            <w:tcW w:type="dxa" w:w="6700"/>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pPr>
            <w:r>
              <w:rPr>
                <w:rFonts w:ascii="Arial" w:cs="Arial" w:eastAsia="Arial" w:hAnsi="Arial"/>
                <w:b/>
                <w:bCs/>
                <w:color w:val="1f5c99"/>
                <w:sz w:val="17"/>
                <w:szCs w:val="17"/>
              </w:rPr>
              <w:t xml:space="preserve">Så gör du</w:t>
            </w:r>
          </w:p>
        </w:tc>
      </w:tr>
      <w:tr>
        <w:trPr>
          <w:cantSplit/>
        </w:trPr>
        <w:tc>
          <w:tcPr>
            <w:tcW w:type="dxa" w:w="376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b/>
                <w:bCs/>
                <w:color w:val="1f5c99"/>
                <w:sz w:val="20"/>
                <w:szCs w:val="20"/>
              </w:rPr>
              <w:t xml:space="preserve">Nästan alla kan: högst 5 av 28 med fel</w:t>
            </w:r>
          </w:p>
        </w:tc>
        <w:tc>
          <w:tcPr>
            <w:tcW w:type="dxa" w:w="670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19"/>
                <w:szCs w:val="19"/>
              </w:rPr>
              <w:t xml:space="preserve">Gå till Avslutet. I nästa samarbete sätter du dig först med dem som inte kunde.</w:t>
            </w:r>
          </w:p>
        </w:tc>
      </w:tr>
      <w:tr>
        <w:trPr>
          <w:cantSplit/>
        </w:trPr>
        <w:tc>
          <w:tcPr>
            <w:tcW w:type="dxa" w:w="376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b/>
                <w:bCs/>
                <w:color w:val="1f5c99"/>
                <w:sz w:val="20"/>
                <w:szCs w:val="20"/>
              </w:rPr>
              <w:t xml:space="preserve">De flesta kan: 6–13 av 28 med fel</w:t>
            </w:r>
          </w:p>
        </w:tc>
        <w:tc>
          <w:tcPr>
            <w:tcW w:type="dxa" w:w="670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19"/>
                <w:szCs w:val="19"/>
              </w:rPr>
              <w:t xml:space="preserve">Paren visar varandra sina lösningar och förklarar, och du lyfter ett vanligt missförstånd.</w:t>
            </w:r>
          </w:p>
        </w:tc>
      </w:tr>
      <w:tr>
        <w:trPr>
          <w:cantSplit/>
        </w:trPr>
        <w:tc>
          <w:tcPr>
            <w:tcW w:type="dxa" w:w="376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b/>
                <w:bCs/>
                <w:color w:val="1f5c99"/>
                <w:sz w:val="20"/>
                <w:szCs w:val="20"/>
              </w:rPr>
              <w:t xml:space="preserve">Hälften eller färre kan: 14 eller fler av 28 med fel</w:t>
            </w:r>
          </w:p>
        </w:tc>
        <w:tc>
          <w:tcPr>
            <w:tcW w:type="dxa" w:w="670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19"/>
                <w:szCs w:val="19"/>
              </w:rPr>
              <w:t xml:space="preserve">Stanna och visa igen, och låt paren göra en uppgift till tillsammans.</w:t>
            </w:r>
          </w:p>
        </w:tc>
      </w:tr>
    </w:tbl>
    <w:p>
      <w:pPr>
        <w:spacing w:after="0" w:before="70" w:line="240"/>
      </w:pPr>
      <w:r>
        <w:rPr>
          <w:rFonts w:ascii="Arial" w:cs="Arial" w:eastAsia="Arial" w:hAnsi="Arial"/>
          <w:color w:val="1a1a1a"/>
          <w:sz w:val="18"/>
          <w:szCs w:val="18"/>
        </w:rPr>
        <w:t xml:space="preserve">Räcker tiden inte: korta Avslutet till tacket, och låt paren börja nästa samarbete med samma slags uppgift. Gå först till dem som hade fel. En annan klass: Nästan alla kan är högst en femtedel med fel, avrundat nedåt. Hälften eller färre kan är minst hälften med fel, avrundat uppåt. De flesta kan är däremellan.</w:t>
      </w:r>
    </w:p>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50"/>
        <w:gridCol w:w="7119"/>
      </w:tblGrid>
      <w:tr>
        <w:trPr>
          <w:cantSplit/>
        </w:trPr>
        <w:tc>
          <w:tcPr>
            <w:tcW w:type="dxa" w:w="10469"/>
            <w:gridSpan w:val="2"/>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pPr>
            <w:r>
              <w:rPr>
                <w:rFonts w:ascii="Arial" w:cs="Arial" w:eastAsia="Arial" w:hAnsi="Arial"/>
                <w:b/>
                <w:bCs/>
                <w:color w:val="FFFFFF"/>
                <w:sz w:val="23"/>
                <w:szCs w:val="23"/>
              </w:rPr>
              <w:t xml:space="preserve">Så stöttar du</w:t>
            </w:r>
            <w:r>
              <w:rPr>
                <w:rFonts w:ascii="Arial" w:cs="Arial" w:eastAsia="Arial" w:hAnsi="Arial"/>
                <w:color w:val="DCE8F5"/>
                <w:sz w:val="18"/>
                <w:szCs w:val="18"/>
              </w:rPr>
              <w:t xml:space="preserve">   Lyssna först, och fråga hela paret. Ansvaret ligger kvar hos paret.</w:t>
            </w:r>
          </w:p>
        </w:tc>
      </w:tr>
      <w:tr>
        <w:trPr>
          <w:cantSplit/>
        </w:trPr>
        <w:tc>
          <w:tcPr>
            <w:tcW w:type="dxa" w:w="3350"/>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pPr>
            <w:r>
              <w:rPr>
                <w:rFonts w:ascii="Arial" w:cs="Arial" w:eastAsia="Arial" w:hAnsi="Arial"/>
                <w:b/>
                <w:bCs/>
                <w:color w:val="1f5c99"/>
                <w:sz w:val="17"/>
                <w:szCs w:val="17"/>
              </w:rPr>
              <w:t xml:space="preserve">Det du ser</w:t>
            </w:r>
          </w:p>
        </w:tc>
        <w:tc>
          <w:tcPr>
            <w:tcW w:type="dxa" w:w="7119"/>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pPr>
            <w:r>
              <w:rPr>
                <w:rFonts w:ascii="Arial" w:cs="Arial" w:eastAsia="Arial" w:hAnsi="Arial"/>
                <w:b/>
                <w:bCs/>
                <w:color w:val="1f5c99"/>
                <w:sz w:val="17"/>
                <w:szCs w:val="17"/>
              </w:rPr>
              <w:t xml:space="preserve">Så gör du</w:t>
            </w:r>
          </w:p>
        </w:tc>
      </w:tr>
      <w:tr>
        <w:trPr>
          <w:cantSplit/>
        </w:trPr>
        <w:tc>
          <w:tcPr>
            <w:tcW w:type="dxa" w:w="335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b/>
                <w:bCs/>
                <w:color w:val="1f5c99"/>
                <w:sz w:val="20"/>
                <w:szCs w:val="20"/>
              </w:rPr>
              <w:t xml:space="preserve">Ett par fastnar</w:t>
            </w:r>
          </w:p>
        </w:tc>
        <w:tc>
          <w:tcPr>
            <w:tcW w:type="dxa" w:w="711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19"/>
                <w:szCs w:val="19"/>
              </w:rPr>
              <w:t xml:space="preserve">”Vad gör ni nu? Hur tänkte ni?” Sedan: ”Hur kan ni se till att båda förstår?” Kom tillbaka. Står de still, visa ett första steg.</w:t>
            </w:r>
          </w:p>
        </w:tc>
      </w:tr>
      <w:tr>
        <w:trPr>
          <w:cantSplit/>
        </w:trPr>
        <w:tc>
          <w:tcPr>
            <w:tcW w:type="dxa" w:w="335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b/>
                <w:bCs/>
                <w:color w:val="1f5c99"/>
                <w:sz w:val="20"/>
                <w:szCs w:val="20"/>
              </w:rPr>
              <w:t xml:space="preserve">En gör allt, den andra tittar</w:t>
            </w:r>
          </w:p>
        </w:tc>
        <w:tc>
          <w:tcPr>
            <w:tcW w:type="dxa" w:w="711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19"/>
                <w:szCs w:val="19"/>
              </w:rPr>
              <w:t xml:space="preserve">”Jag har hört dig svara på alla uppgifter.” ”Hur ser ni till att båda får vara med?”</w:t>
            </w:r>
          </w:p>
        </w:tc>
      </w:tr>
      <w:tr>
        <w:trPr>
          <w:cantSplit/>
        </w:trPr>
        <w:tc>
          <w:tcPr>
            <w:tcW w:type="dxa" w:w="335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b/>
                <w:bCs/>
                <w:color w:val="1f5c99"/>
                <w:sz w:val="20"/>
                <w:szCs w:val="20"/>
              </w:rPr>
              <w:t xml:space="preserve">Flera par har samma problem</w:t>
            </w:r>
          </w:p>
        </w:tc>
        <w:tc>
          <w:tcPr>
            <w:tcW w:type="dxa" w:w="711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19"/>
                <w:szCs w:val="19"/>
              </w:rPr>
              <w:t xml:space="preserve">Stoppa klassen, visa igen och låt paren fortsätta.</w:t>
            </w:r>
          </w:p>
        </w:tc>
      </w:tr>
      <w:tr>
        <w:trPr>
          <w:cantSplit/>
        </w:trPr>
        <w:tc>
          <w:tcPr>
            <w:tcW w:type="dxa" w:w="335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b/>
                <w:bCs/>
                <w:color w:val="1f5c99"/>
                <w:sz w:val="20"/>
                <w:szCs w:val="20"/>
              </w:rPr>
              <w:t xml:space="preserve">Någon räcker upp handen</w:t>
            </w:r>
          </w:p>
        </w:tc>
        <w:tc>
          <w:tcPr>
            <w:tcW w:type="dxa" w:w="711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19"/>
                <w:szCs w:val="19"/>
              </w:rPr>
              <w:t xml:space="preserve">Slumpa ändå inför klassen när gruppen har fått göra alla redo.</w:t>
            </w:r>
          </w:p>
        </w:tc>
      </w:tr>
      <w:tr>
        <w:trPr>
          <w:cantSplit/>
        </w:trPr>
        <w:tc>
          <w:tcPr>
            <w:tcW w:type="dxa" w:w="335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b/>
                <w:bCs/>
                <w:color w:val="1f5c99"/>
                <w:sz w:val="20"/>
                <w:szCs w:val="20"/>
              </w:rPr>
              <w:t xml:space="preserve">Den du frågar tystnar</w:t>
            </w:r>
          </w:p>
        </w:tc>
        <w:tc>
          <w:tcPr>
            <w:tcW w:type="dxa" w:w="711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pPr>
            <w:r>
              <w:rPr>
                <w:rFonts w:ascii="Arial" w:cs="Arial" w:eastAsia="Arial" w:hAnsi="Arial"/>
                <w:color w:val="1a1a1a"/>
                <w:sz w:val="19"/>
                <w:szCs w:val="19"/>
              </w:rPr>
              <w:t xml:space="preserve">Gruppen påminner, utan att svara åt hen. Kom tillbaka till samma elev.</w:t>
            </w:r>
          </w:p>
        </w:tc>
      </w:tr>
    </w:tbl>
    <w:sectPr>
      <w:footerReference w:type="default" r:id="rId7"/>
      <w:pgSz w:w="11909" w:h="16834" w:orient="portrait"/>
      <w:pgMar w:top="720" w:right="720" w:bottom="720" w:left="720" w:header="36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pPr>
    <w:r>
      <w:rPr>
        <w:rFonts w:ascii="Arial" w:cs="Arial" w:eastAsia="Arial" w:hAnsi="Arial"/>
        <w:color w:val="555555"/>
        <w:sz w:val="15"/>
        <w:szCs w:val="15"/>
      </w:rPr>
      <w:t xml:space="preserve">© Niclas Fohlin · </w:t>
    </w:r>
    <w:hyperlink w:history="1" r:id="rId4bl9qlwsg4tzfz_o0tqfm">
      <w:r>
        <w:rPr>
          <w:rFonts w:ascii="Arial" w:cs="Arial" w:eastAsia="Arial" w:hAnsi="Arial"/>
          <w:color w:val="2e75b6"/>
          <w:sz w:val="15"/>
          <w:szCs w:val="15"/>
          <w:u w:val="single" w:color="2e75b6"/>
        </w:rPr>
        <w:t xml:space="preserve">niclasfohlin.se/metoder/kooperativt-larande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bl9qlwsg4tzfz_o0tqfm" Type="http://schemas.openxmlformats.org/officeDocument/2006/relationships/hyperlink" Target="https://niclasfohlin.se/metoder/kooperativt-larande"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Kooperativt lärande · Lektionskort</dc:title>
  <dc:creator>Niclas Fohlin</dc:creator>
  <cp:lastModifiedBy>Un-named</cp:lastModifiedBy>
  <cp:revision>1</cp:revision>
  <dcterms:created xsi:type="dcterms:W3CDTF">2026-11-04T05:23:54.817Z</dcterms:created>
  <dcterms:modified xsi:type="dcterms:W3CDTF">2026-11-04T05:23:54.817Z</dcterms:modified>
</cp:coreProperties>
</file>

<file path=docProps/custom.xml><?xml version="1.0" encoding="utf-8"?>
<Properties xmlns="http://schemas.openxmlformats.org/officeDocument/2006/custom-properties" xmlns:vt="http://schemas.openxmlformats.org/officeDocument/2006/docPropsVTypes"/>
</file>