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keepNext/>
      </w:pPr>
      <w:r>
        <w:t xml:space="preserve">Materialet för klassen</w:t>
      </w:r>
    </w:p>
    <w:p>
      <w:pPr>
        <w:spacing w:after="150" w:line="246"/>
      </w:pPr>
      <w:r>
        <w:rPr>
          <w:color w:val="1a1a1a"/>
          <w:sz w:val="21"/>
          <w:szCs w:val="21"/>
        </w:rPr>
        <w:t xml:space="preserve">Utöver </w:t>
      </w:r>
      <w:hyperlink w:history="1" r:id="rIdmqkk-5ry2tcp-yv9e-n9d">
        <w:r>
          <w:rPr>
            <w:color w:val="0563C1"/>
            <w:sz w:val="21"/>
            <w:szCs w:val="21"/>
            <w:u w:val="single" w:color="0563C1"/>
          </w:rPr>
          <w:t xml:space="preserve">lektionskortet</w:t>
        </w:r>
      </w:hyperlink>
      <w:r>
        <w:rPr>
          <w:color w:val="1a1a1a"/>
          <w:sz w:val="21"/>
          <w:szCs w:val="21"/>
        </w:rPr>
        <w:t xml:space="preserve"> och </w:t>
      </w:r>
      <w:hyperlink w:history="1" r:id="rId5-anp9jtlbeyvmb7zjc6u">
        <w:r>
          <w:rPr>
            <w:color w:val="0563C1"/>
            <w:sz w:val="21"/>
            <w:szCs w:val="21"/>
            <w:u w:val="single" w:color="0563C1"/>
          </w:rPr>
          <w:t xml:space="preserve">strategikorten</w:t>
        </w:r>
      </w:hyperlink>
      <w:r>
        <w:rPr>
          <w:color w:val="1a1a1a"/>
          <w:sz w:val="21"/>
          <w:szCs w:val="21"/>
        </w:rPr>
        <w:t xml:space="preserve"> finns </w:t>
      </w:r>
      <w:hyperlink w:history="1" r:id="rIdjh90cvgnc5iekxvmbectf">
        <w:r>
          <w:rPr>
            <w:color w:val="0563C1"/>
            <w:sz w:val="21"/>
            <w:szCs w:val="21"/>
            <w:u w:val="single" w:color="0563C1"/>
          </w:rPr>
          <w:t xml:space="preserve">frågekartan</w:t>
        </w:r>
      </w:hyperlink>
      <w:r>
        <w:rPr>
          <w:color w:val="1a1a1a"/>
          <w:sz w:val="21"/>
          <w:szCs w:val="21"/>
        </w:rPr>
        <w:t xml:space="preserve"> för de yngsta. Återkomstlistan för dig och ämneslaget är en mall att skriva i, och den står sist i bilaga A.</w:t>
      </w:r>
    </w:p>
    <w:p>
      <w:pPr>
        <w:pStyle w:val="Heading4"/>
        <w:keepNext/>
        <w:keepLines/>
        <w:spacing w:after="150" w:before="0" w:line="246"/>
      </w:pPr>
      <w:r>
        <w:rPr>
          <w:color w:val="1a1a1a"/>
          <w:sz w:val="21"/>
          <w:szCs w:val="21"/>
        </w:rPr>
        <w:t xml:space="preserve">Frågekartan</w:t>
      </w:r>
    </w:p>
    <w:p>
      <w:pPr>
        <w:spacing w:after="150" w:line="246"/>
      </w:pPr>
      <w:r>
        <w:rPr>
          <w:color w:val="1a1a1a"/>
          <w:sz w:val="21"/>
          <w:szCs w:val="21"/>
        </w:rPr>
        <w:t xml:space="preserve">Skriv arbetsområdets namn i mitten och fem frågor runt omkring. Kopiera två blad i A4 per elev, eller visa bladet på tavlan. Eleverna fyller i det första med boken öppen och sedan, samma lektion, det andra med boken stängd, och ringar in öppen eller stängd. I starten veckan efter fyller de i ett nytt med boken stängd. Bladet passar F–‍3 och den som är ny i svenska.</w:t>
      </w:r>
    </w:p>
    <w:p>
      <w:pPr>
        <w:spacing w:after="0" w:before="0" w:line="240"/>
        <w:rPr>
          <w:rFonts w:ascii="Arial" w:cs="Arial" w:eastAsia="Arial" w:hAnsi="Arial"/>
          <w:sz w:val="2"/>
          <w:szCs w:val="2"/>
        </w:rPr>
        <w:sectPr>
          <w:headerReference w:type="default" r:id="rId7"/>
          <w:footerReference w:type="default" r:id="rId8"/>
          <w:pgSz w:w="11909" w:h="16834" w:orient="portrait"/>
          <w:pgMar w:top="1440" w:right="1440" w:bottom="1440" w:left="1440" w:header="720" w:footer="72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Frågekartan" descr="Ett liggande blad med rubriken Frågekartan och en rad för Namn. Under dem står två rutor att ringa in, Boken öppen med en öppen bok och Boken stängd med en stängd bok. I mitten står en tom oval där arbetsområdets namn skrivs. Från ovalen går streck till fem rutor runt omkring, en uppe till vänster, en uppe till höger och tre nederst. Varje ruta har sitt nummer från 1 till 5, ett tonat fält överst där frågan skrivs, en tom yta att rita i och två rader att skriva svaret på." title="Frågekar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5523"/>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680"/>
        <w:gridCol w:w="4003"/>
        <w:gridCol w:w="737"/>
        <w:gridCol w:w="408"/>
        <w:gridCol w:w="272"/>
        <w:gridCol w:w="3583"/>
        <w:gridCol w:w="420"/>
        <w:gridCol w:w="737"/>
        <w:gridCol w:w="680"/>
        <w:gridCol w:w="4003"/>
      </w:tblGrid>
      <w:tr>
        <w:trPr>
          <w:cantSplit/>
          <w:trHeight w:val="945" w:hRule="exact"/>
        </w:trPr>
        <w:tc>
          <w:tcPr>
            <w:tcW w:type="dxa" w:w="6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03"/>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6837"/>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03"/>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225" w:hRule="exact"/>
        </w:trPr>
        <w:tc>
          <w:tcPr>
            <w:tcW w:type="dxa" w:w="6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1417"/>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0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141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1"/>
            <w:vMerge w:val="continue"/>
            <w:tcBorders>
              <w:top w:val="none" w:color="FFFFFF" w:sz="0"/>
              <w:left w:val="none" w:color="FFFFFF" w:sz="0"/>
              <w:bottom w:val="none" w:color="FFFFFF" w:sz="0"/>
              <w:right w:val="none" w:color="FFFFFF" w:sz="0"/>
            </w:tcBorders>
          </w:tcPr>
          <w:p/>
        </w:tc>
      </w:tr>
      <w:tr>
        <w:trPr>
          <w:cantSplit/>
          <w:trHeight w:val="135" w:hRule="exact"/>
        </w:trPr>
        <w:tc>
          <w:tcPr>
            <w:tcW w:type="dxa" w:w="6100"/>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542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35" w:hRule="exact"/>
        </w:trPr>
        <w:tc>
          <w:tcPr>
            <w:tcW w:type="dxa" w:w="468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1417"/>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1815" w:hRule="exact"/>
        </w:trPr>
        <w:tc>
          <w:tcPr>
            <w:gridSpan w:val="2"/>
            <w:vMerge w:val="continue"/>
            <w:tcBorders>
              <w:top w:val="none" w:color="FFFFFF" w:sz="0"/>
              <w:left w:val="none" w:color="FFFFFF" w:sz="0"/>
              <w:bottom w:val="none" w:color="FFFFFF" w:sz="0"/>
              <w:right w:val="none" w:color="FFFFFF" w:sz="0"/>
            </w:tcBorders>
          </w:tcPr>
          <w:p/>
        </w:tc>
        <w:tc>
          <w:tcPr>
            <w:tcW w:type="dxa" w:w="6157"/>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r>
      <w:tr>
        <w:trPr>
          <w:cantSplit/>
          <w:trHeight w:val="135" w:hRule="exact"/>
        </w:trPr>
        <w:tc>
          <w:tcPr>
            <w:gridSpan w:val="2"/>
            <w:vMerge w:val="continue"/>
            <w:tcBorders>
              <w:top w:val="none" w:color="FFFFFF" w:sz="0"/>
              <w:left w:val="none" w:color="FFFFFF" w:sz="0"/>
              <w:bottom w:val="none" w:color="FFFFFF" w:sz="0"/>
              <w:right w:val="none" w:color="FFFFFF" w:sz="0"/>
            </w:tcBorders>
          </w:tcPr>
          <w:p/>
        </w:tc>
        <w:tc>
          <w:tcPr>
            <w:tcW w:type="dxa" w:w="1145"/>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3855"/>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115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r>
      <w:tr>
        <w:trPr>
          <w:cantSplit/>
          <w:trHeight w:val="210" w:hRule="exact"/>
        </w:trPr>
        <w:tc>
          <w:tcPr>
            <w:tcW w:type="dxa" w:w="5828"/>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5840"/>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585" w:hRule="exact"/>
        </w:trPr>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1145"/>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15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210" w:hRule="exact"/>
        </w:trPr>
        <w:tc>
          <w:tcPr>
            <w:tcW w:type="dxa" w:w="468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1145"/>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15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450" w:hRule="exact"/>
        </w:trPr>
        <w:tc>
          <w:tcPr>
            <w:gridSpan w:val="2"/>
            <w:vMerge w:val="continue"/>
            <w:tcBorders>
              <w:top w:val="none" w:color="FFFFFF" w:sz="0"/>
              <w:left w:val="none" w:color="FFFFFF" w:sz="0"/>
              <w:bottom w:val="none" w:color="FFFFFF" w:sz="0"/>
              <w:right w:val="none" w:color="FFFFFF" w:sz="0"/>
            </w:tcBorders>
          </w:tcPr>
          <w:p/>
        </w:tc>
        <w:tc>
          <w:tcPr>
            <w:tcW w:type="dxa" w:w="6157"/>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r>
      <w:tr>
        <w:trPr>
          <w:cantSplit/>
          <w:trHeight w:val="705" w:hRule="exact"/>
        </w:trPr>
        <w:tc>
          <w:tcPr>
            <w:tcW w:type="dxa" w:w="15523"/>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185" w:hRule="exact"/>
        </w:trPr>
        <w:tc>
          <w:tcPr>
            <w:tcW w:type="dxa" w:w="6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0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1417"/>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0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141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0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135" w:hRule="exact"/>
        </w:trPr>
        <w:tc>
          <w:tcPr>
            <w:tcW w:type="dxa" w:w="15523"/>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2085" w:hRule="exact"/>
        </w:trPr>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4"/>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210" w:hRule="exact"/>
        </w:trPr>
        <w:tc>
          <w:tcPr>
            <w:tcW w:type="dxa" w:w="15523"/>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585" w:hRule="exact"/>
        </w:trPr>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660" w:hRule="exact"/>
        </w:trPr>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68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480" w:hRule="exact"/>
        </w:trPr>
        <w:tc>
          <w:tcPr>
            <w:tcW w:type="dxa" w:w="15523"/>
            <w:gridSpan w:val="10"/>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niclasfohlin.se/metoder/larande-pa-kognitionsvetenskaplig-grund</w:t>
            </w:r>
          </w:p>
        </w:tc>
      </w:tr>
    </w:tbl>
    <w:p>
      <w:pPr>
        <w:spacing w:after="0" w:before="0" w:line="240"/>
        <w:rPr>
          <w:rFonts w:ascii="Arial" w:cs="Arial" w:eastAsia="Arial" w:hAnsi="Arial"/>
          <w:sz w:val="2"/>
          <w:szCs w:val="2"/>
        </w:rPr>
      </w:pPr>
      <w:r>
        <w:rPr>
          <w:rFonts w:ascii="Arial" w:cs="Arial" w:eastAsia="Arial" w:hAnsi="Arial"/>
          <w:sz w:val="2"/>
          <w:szCs w:val="2"/>
        </w:rPr>
        <w:t xml:space="preserve"/>
      </w:r>
    </w:p>
    <w:sectPr>
      <w:headerReference w:type="default" r:id="rId9"/>
      <w:footerReference w:type="default" r:id="rId10"/>
      <w:pgSz w:w="16834" w:h="11909" w:orient="landscape"/>
      <w:pgMar w:top="522" w:right="628" w:bottom="369" w:left="658"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1aa4593-171a-65fe-3a5b-2d7c7a9c90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niclasfohlin.se/metoder/larande-pa-kognitionsvetenskaplig-grund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Lärande på kognitionsvetenskaplig grund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mqkk-5ry2tcp-yv9e-n9d" Type="http://schemas.openxmlformats.org/officeDocument/2006/relationships/hyperlink" Target="https://niclasfohlin.se/metoder/larande-pa-kognitionsvetenskaplig-grund#materialet" TargetMode="External"/><Relationship Id="rId5-anp9jtlbeyvmb7zjc6u" Type="http://schemas.openxmlformats.org/officeDocument/2006/relationships/hyperlink" Target="https://niclasfohlin.se/metoder/larande-pa-kognitionsvetenskaplig-grund#strategierna" TargetMode="External"/><Relationship Id="rIdjh90cvgnc5iekxvmbectf" Type="http://schemas.openxmlformats.org/officeDocument/2006/relationships/hyperlink" Target="https://niclasfohlin.se/metoder/larande-pa-kognitionsvetenskaplig-grund#blad-fragekartan" TargetMode="External"/><Relationship Id="rId11" Type="http://schemas.openxmlformats.org/officeDocument/2006/relationships/image" Target="media/3f20820fd4197c7cc44915a3b1b5d7fd1561ed42.svg"/><Relationship Id="rId12" Type="http://schemas.openxmlformats.org/officeDocument/2006/relationships/image" Target="media/ead2bd540ab0533b13207904686280f65115b84e.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2026-11-04T05:14:23.979Z</dcterms:created>
  <dcterms:modified xsi:type="dcterms:W3CDTF">2026-11-04T05:14:23.979Z</dcterms:modified>
</cp:coreProperties>
</file>

<file path=docProps/custom.xml><?xml version="1.0" encoding="utf-8"?>
<Properties xmlns="http://schemas.openxmlformats.org/officeDocument/2006/custom-properties" xmlns:vt="http://schemas.openxmlformats.org/officeDocument/2006/docPropsVTypes"/>
</file>