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Forskningen bakom lärande på kognitionsvetenskaplig grund</w:t>
      </w:r>
    </w:p>
    <w:p>
      <w:pPr>
        <w:spacing w:after="150" w:line="246"/>
      </w:pPr>
      <w:r>
        <w:rPr>
          <w:color w:val="555555"/>
          <w:sz w:val="19"/>
          <w:szCs w:val="19"/>
        </w:rPr>
        <w:t xml:space="preserve">15 källor, valda 2026-11-03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Oklart</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8uatwgmmskt_vmbhlsczy">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wr5ooc3uojodkevk2e1fd">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ethg6xcvfc_clzzaibuq5">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Strategierna hjälper var för sig i skolan. Framplockning gav 0,37, spridning 0,20 och blandning 0,40 i vanliga klassrum (Ruitenburg m.fl., 2026), och korta prov 0,22 mot inget prov (Dietrichson m.fl., 2026). </w:t>
            </w:r>
            <w:hyperlink w:history="1" r:id="rId6kqwvvefnf9xeskynuu5v">
              <w:r>
                <w:rPr>
                  <w:color w:val="0563C1"/>
                  <w:sz w:val="20"/>
                  <w:szCs w:val="20"/>
                  <w:u w:val="single" w:color="0563C1"/>
                </w:rPr>
                <w:t xml:space="preserve">Ord och bild</w:t>
              </w:r>
            </w:hyperlink>
            <w:r>
              <w:rPr>
                <w:color w:val="1a1a1a"/>
                <w:sz w:val="20"/>
                <w:szCs w:val="20"/>
              </w:rPr>
              <w:t xml:space="preserve"> gav 0,47 i 56 lottade studier, mest i enstaka lektioner, men 0,21 från förskolan till åk 5 (Banks m.fl., 2026), och bilder till texten 0,27 i läsförståelse (Guo m.fl., 2020). EEF:s systematiska översikt ger underlaget för lösta exempel måttlig tillförlitlighet och för det mesta andra låg (Perry m.fl., 2021).</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Banks, B., Curran, J., Hall, R. m.fl. (2026). When and how to use visuals effectively: a meta-analysis of dual coding in the classroom. Ambition Institute.</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0,47</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0,47 i 56 lottade studier av ord och bild i skolan</w:t>
            </w:r>
          </w:p>
          <w:p>
            <w:pPr>
              <w:keepNext w:val="false"/>
              <w:spacing w:after="20" w:line="240"/>
            </w:pPr>
            <w:hyperlink w:history="1" r:id="rIdhxwfafnhxoflu_2klsr4u">
              <w:r>
                <w:rPr>
                  <w:color w:val="0563C1"/>
                  <w:sz w:val="15"/>
                  <w:szCs w:val="15"/>
                  <w:u w:val="single" w:color="0563C1"/>
                </w:rPr>
                <w:t xml:space="preserve">s3.eu-west-2.amazonaws.com</w:t>
              </w:r>
            </w:hyperlink>
          </w:p>
          <w:p>
            <w:pPr>
              <w:keepNext w:val="false"/>
              <w:spacing w:after="0" w:line="240"/>
            </w:pPr>
            <w:r>
              <w:rPr>
                <w:rFonts w:ascii="Arial" w:cs="Arial" w:eastAsia="Arial" w:hAnsi="Arial"/>
                <w:i/>
                <w:iCs/>
                <w:color w:val="555555"/>
                <w:sz w:val="15"/>
                <w:szCs w:val="15"/>
              </w:rPr>
              <w:t xml:space="preserve">Lärande totalt · Läsning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Dietrichson, J., Seerup, J. K., Bondebjerg, A. m.fl. (2026). Testing frequency and student achievement: A systematic review. EdWorkingPaper, Annenberg Institute at Brown University.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0,22</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0,22 mot inget prov i 38 studier, åk 3 till gymnasiet</w:t>
            </w:r>
          </w:p>
          <w:p>
            <w:pPr>
              <w:keepNext w:val="false"/>
              <w:spacing w:after="20" w:line="240"/>
            </w:pPr>
            <w:hyperlink w:history="1" r:id="rId0efw4ga_sl5adyyqmg8ug">
              <w:r>
                <w:rPr>
                  <w:color w:val="0563C1"/>
                  <w:sz w:val="15"/>
                  <w:szCs w:val="15"/>
                  <w:u w:val="single" w:color="0563C1"/>
                </w:rPr>
                <w:t xml:space="preserve">DOI 10.26300/jas3-2b83</w:t>
              </w:r>
            </w:hyperlink>
          </w:p>
          <w:p>
            <w:pPr>
              <w:keepNext w:val="false"/>
              <w:spacing w:after="0" w:line="240"/>
            </w:pPr>
            <w:r>
              <w:rPr>
                <w:rFonts w:ascii="Arial" w:cs="Arial" w:eastAsia="Arial" w:hAnsi="Arial"/>
                <w:i/>
                <w:iCs/>
                <w:color w:val="555555"/>
                <w:sz w:val="15"/>
                <w:szCs w:val="15"/>
              </w:rPr>
              <w:t xml:space="preserve">Lärande totalt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Guo, D., Zhang, S., Wright, K. L. m.fl. (2020). Do You Get the Picture? A Meta-Analysis of the Effect of Graphics on Reading Comprehension. AERA Open.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0,27 i läsförståelse, 11 studier i åk 1–‍6</w:t>
            </w:r>
          </w:p>
          <w:p>
            <w:pPr>
              <w:keepNext w:val="false"/>
              <w:spacing w:after="20" w:line="240"/>
            </w:pPr>
            <w:hyperlink w:history="1" r:id="rIdful1rozvlomiatfluindl">
              <w:r>
                <w:rPr>
                  <w:color w:val="0563C1"/>
                  <w:sz w:val="15"/>
                  <w:szCs w:val="15"/>
                  <w:u w:val="single" w:color="0563C1"/>
                </w:rPr>
                <w:t xml:space="preserve">DOI 10.1177/2332858420901696</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Systematisk översikt</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Perry, T., Lea, R., Jørgensen, C. R. m.fl. (2021). Cognitive science approaches in the classroom: Evidence review. Education Endowment Foundation.</w:t>
            </w:r>
          </w:p>
          <w:p>
            <w:pPr>
              <w:keepNext w:val="false"/>
              <w:spacing w:after="20" w:line="240"/>
            </w:pPr>
            <w:hyperlink w:history="1" r:id="rIdwfnvxwz8tilmagxabhgpm">
              <w:r>
                <w:rPr>
                  <w:color w:val="0563C1"/>
                  <w:sz w:val="15"/>
                  <w:szCs w:val="15"/>
                  <w:u w:val="single" w:color="0563C1"/>
                </w:rPr>
                <w:t xml:space="preserve">educationendowmentfoundation.org.uk</w:t>
              </w:r>
            </w:hyperlink>
          </w:p>
          <w:p>
            <w:pPr>
              <w:keepNext w:val="false"/>
              <w:spacing w:after="0" w:line="240"/>
            </w:pPr>
            <w:r>
              <w:rPr>
                <w:rFonts w:ascii="Arial" w:cs="Arial" w:eastAsia="Arial" w:hAnsi="Arial"/>
                <w:i/>
                <w:iCs/>
                <w:color w:val="555555"/>
                <w:sz w:val="15"/>
                <w:szCs w:val="15"/>
              </w:rPr>
              <w:t xml:space="preserve">Lärande totalt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Ruitenburg, S. K., Goos, M., Lambert, G. m.fl. (2026). A Meta-Analysis of the Effectiveness and Boundary Conditions of Retrieval Practice, Distributed Practice, and Interleaved Practice in Authentic School Classrooms. Educational Psychology Review.</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framplockning 0,37, spridning 0,20 och blandning 0,40</w:t>
            </w:r>
          </w:p>
          <w:p>
            <w:pPr>
              <w:keepNext w:val="false"/>
              <w:spacing w:after="20" w:line="240"/>
            </w:pPr>
            <w:hyperlink w:history="1" r:id="rIdtmduvajevwe-ebnxek2hb">
              <w:r>
                <w:rPr>
                  <w:color w:val="0563C1"/>
                  <w:sz w:val="15"/>
                  <w:szCs w:val="15"/>
                  <w:u w:val="single" w:color="0563C1"/>
                </w:rPr>
                <w:t xml:space="preserve">DOI 10.1007/s10648-026-10225-5</w:t>
              </w:r>
            </w:hyperlink>
          </w:p>
          <w:p>
            <w:pPr>
              <w:keepNext w:val="false"/>
              <w:spacing w:after="0" w:line="240"/>
            </w:pPr>
            <w:r>
              <w:rPr>
                <w:rFonts w:ascii="Arial" w:cs="Arial" w:eastAsia="Arial" w:hAnsi="Arial"/>
                <w:i/>
                <w:iCs/>
                <w:color w:val="555555"/>
                <w:sz w:val="15"/>
                <w:szCs w:val="15"/>
              </w:rPr>
              <w:t xml:space="preserve">Lärande totalt · Läsning · Skrivning · Matematik · Ämnen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 stora försöken i vanliga skolor visar mindre än sammanställningarna. Flera strategier i samma arbetsområde gav 0,16 i NO (Kramer m.fl., 2024), och en omgjord kurs i matematik 0,12, inte säkert, på ett prov som inte gjordes för den (Davenport m.fl., 2020). Ett quiz i starten gav ingen skillnad mot en diskussion (Roy m.fl., 2023), och lösta exempel i skrivning ingen skillnad (Aston m.fl., 2025). Undantaget är blandade uppgifter, som gav 61 mot 38 procent rätt i åk 7 (Rohrer m.fl., 2020).</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Aston, K., Smith, A., Liht, J. m.fl. (2025). Cognitive science Teacher Choices trial: Using examples to teach grammar to Year 7. Evaluation report.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0,07</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0,07 mot diskussion, 6 297 elever i 55 skolor, åk 6</w:t>
            </w:r>
          </w:p>
          <w:p>
            <w:pPr>
              <w:keepNext w:val="false"/>
              <w:spacing w:after="20" w:line="240"/>
            </w:pPr>
            <w:hyperlink w:history="1" r:id="rIdj5-xnspynzouonebntyrj">
              <w:r>
                <w:rPr>
                  <w:color w:val="0563C1"/>
                  <w:sz w:val="15"/>
                  <w:szCs w:val="15"/>
                  <w:u w:val="single" w:color="0563C1"/>
                </w:rPr>
                <w:t xml:space="preserve">educationendowmentfoundation.org.uk</w:t>
              </w:r>
            </w:hyperlink>
          </w:p>
          <w:p>
            <w:pPr>
              <w:keepNext w:val="false"/>
              <w:spacing w:after="0" w:line="240"/>
            </w:pPr>
            <w:r>
              <w:rPr>
                <w:rFonts w:ascii="Arial" w:cs="Arial" w:eastAsia="Arial" w:hAnsi="Arial"/>
                <w:i/>
                <w:iCs/>
                <w:color w:val="555555"/>
                <w:sz w:val="15"/>
                <w:szCs w:val="15"/>
              </w:rPr>
              <w:t xml:space="preserve">Skrivning · 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Davenport, J. L., Kao, Y. S., Matlen, B. J. m.fl. (2020). Cognition Research in Practice: Engineering and Evaluating a Middle School Math Curriculum. The Journal of Experimental Education.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0,12</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0,12 på ett befintligt prov, 2 595 elever i 62 skolor, åk 7</w:t>
            </w:r>
          </w:p>
          <w:p>
            <w:pPr>
              <w:keepNext w:val="false"/>
              <w:spacing w:after="20" w:line="240"/>
            </w:pPr>
            <w:hyperlink w:history="1" r:id="rIdcsncn7_laihwk2qz7cqq0">
              <w:r>
                <w:rPr>
                  <w:color w:val="0563C1"/>
                  <w:sz w:val="15"/>
                  <w:szCs w:val="15"/>
                  <w:u w:val="single" w:color="0563C1"/>
                </w:rPr>
                <w:t xml:space="preserve">DOI 10.1080/00220973.2019.1619067</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Kramer, S. L., Scull, J., Porter, A. C. m.fl. (2024). Can either using cognitive science principles or improving teacher content knowledge boost student achievement in middle school science? Journal of Research in Science Teaching.</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0,16</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0,16 i NO mot vanlig undervisning, 20 591 elever i 89 skolor</w:t>
            </w:r>
          </w:p>
          <w:p>
            <w:pPr>
              <w:keepNext w:val="false"/>
              <w:spacing w:after="20" w:line="240"/>
            </w:pPr>
            <w:hyperlink w:history="1" r:id="rIdtsigjdmflj3s-lit8_dna">
              <w:r>
                <w:rPr>
                  <w:color w:val="0563C1"/>
                  <w:sz w:val="15"/>
                  <w:szCs w:val="15"/>
                  <w:u w:val="single" w:color="0563C1"/>
                </w:rPr>
                <w:t xml:space="preserve">DOI 10.1002/tea.21923</w:t>
              </w:r>
            </w:hyperlink>
          </w:p>
          <w:p>
            <w:pPr>
              <w:keepNext w:val="false"/>
              <w:spacing w:after="0" w:line="240"/>
            </w:pPr>
            <w:r>
              <w:rPr>
                <w:rFonts w:ascii="Arial" w:cs="Arial" w:eastAsia="Arial" w:hAnsi="Arial"/>
                <w:i/>
                <w:iCs/>
                <w:color w:val="555555"/>
                <w:sz w:val="15"/>
                <w:szCs w:val="15"/>
              </w:rPr>
              <w:t xml:space="preserve">Lärande totalt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Rohrer, D., Dedrick, R. F., Hartwig, M. K. m.fl. (2020). A randomized controlled trial of interleaved mathematics practice.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0,83</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0,83 på forskarnas prov, 787 elever i 54 klasser i åk 7</w:t>
            </w:r>
          </w:p>
          <w:p>
            <w:pPr>
              <w:keepNext w:val="false"/>
              <w:spacing w:after="20" w:line="240"/>
            </w:pPr>
            <w:hyperlink w:history="1" r:id="rId5jimdnn0ozzpot8d98ebf">
              <w:r>
                <w:rPr>
                  <w:color w:val="0563C1"/>
                  <w:sz w:val="15"/>
                  <w:szCs w:val="15"/>
                  <w:u w:val="single" w:color="0563C1"/>
                </w:rPr>
                <w:t xml:space="preserve">DOI 10.1037/edu0000367</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Roy, P., Tang, S., Harland, J. m.fl. (2023). Teacher Choices Trial: A Winning Start (second run). Evaluation report.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−0,01</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−0,01 mot en startdiskussion i NO, 1 074 elever i 15 skolor</w:t>
            </w:r>
          </w:p>
          <w:p>
            <w:pPr>
              <w:keepNext w:val="false"/>
              <w:spacing w:after="20" w:line="240"/>
            </w:pPr>
            <w:hyperlink w:history="1" r:id="rIdzbas6lgmwym1d6ghpkr0f">
              <w:r>
                <w:rPr>
                  <w:color w:val="0563C1"/>
                  <w:sz w:val="15"/>
                  <w:szCs w:val="15"/>
                  <w:u w:val="single" w:color="0563C1"/>
                </w:rPr>
                <w:t xml:space="preserve">d2tic4wvo1iusb.cloudfront.net</w:t>
              </w:r>
            </w:hyperlink>
          </w:p>
          <w:p>
            <w:pPr>
              <w:keepNext w:val="false"/>
              <w:spacing w:after="0" w:line="240"/>
            </w:pPr>
            <w:r>
              <w:rPr>
                <w:rFonts w:ascii="Arial" w:cs="Arial" w:eastAsia="Arial" w:hAnsi="Arial"/>
                <w:i/>
                <w:iCs/>
                <w:color w:val="555555"/>
                <w:sz w:val="15"/>
                <w:szCs w:val="15"/>
              </w:rPr>
              <w:t xml:space="preserve">Lärande totalt · Ämnen · Socialt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Vägledningarna råder lärarna att låta eleverna ta fram ur minnet, sprida ut det viktiga, kombinera ord och bild och visa lösta exempel (Pashler m.fl., 2007). De säger också att det är svårare att tillämpa principerna än att känna till dem, och att strategierna glider mot tomma rutiner (EEF, 2021). Det eleven redan kan avgör vilket stöd som hjälper (Sweller m.fl., 2019), och underlaget är tunt för blandning av olika ämnen (Weinstein m.fl., 2018).</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CESE, Centre for Education Statistics and Evaluation (2018). Cognitive load theory in practice: Examples for the classroom. NSW Department of Education.</w:t>
            </w:r>
          </w:p>
          <w:p>
            <w:pPr>
              <w:keepNext w:val="false"/>
              <w:spacing w:after="20" w:line="240"/>
            </w:pPr>
            <w:hyperlink w:history="1" r:id="rIdpdifaohhxo8hhjeap0l1w">
              <w:r>
                <w:rPr>
                  <w:color w:val="0563C1"/>
                  <w:sz w:val="16"/>
                  <w:szCs w:val="16"/>
                  <w:u w:val="single" w:color="0563C1"/>
                </w:rPr>
                <w:t xml:space="preserve">Avlasta minnet</w:t>
              </w:r>
            </w:hyperlink>
            <w:r>
              <w:rPr>
                <w:color w:val="1a1a1a"/>
                <w:sz w:val="16"/>
                <w:szCs w:val="16"/>
              </w:rPr>
              <w:t xml:space="preserve"> och </w:t>
            </w:r>
            <w:hyperlink w:history="1" r:id="rIddvkn-gkzqvwyajfpivyta">
              <w:r>
                <w:rPr>
                  <w:color w:val="0563C1"/>
                  <w:sz w:val="16"/>
                  <w:szCs w:val="16"/>
                  <w:u w:val="single" w:color="0563C1"/>
                </w:rPr>
                <w:t xml:space="preserve">Ord och bild</w:t>
              </w:r>
            </w:hyperlink>
            <w:r>
              <w:rPr>
                <w:color w:val="1a1a1a"/>
                <w:sz w:val="16"/>
                <w:szCs w:val="16"/>
              </w:rPr>
              <w:t xml:space="preserve">, med exempel ur klassrummet</w:t>
            </w:r>
          </w:p>
          <w:p>
            <w:pPr>
              <w:keepNext w:val="false"/>
              <w:spacing w:after="20" w:line="240"/>
            </w:pPr>
            <w:hyperlink w:history="1" r:id="rIdljocspe9yq4fqbe36be0-">
              <w:r>
                <w:rPr>
                  <w:color w:val="0563C1"/>
                  <w:sz w:val="15"/>
                  <w:szCs w:val="15"/>
                  <w:u w:val="single" w:color="0563C1"/>
                </w:rPr>
                <w:t xml:space="preserve">education.nsw.gov.au</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EEF, Education Endowment Foundation (2021). Cognitive science approaches in the classroom: A review of the evidence. Education Endowment Foundation.</w:t>
            </w:r>
          </w:p>
          <w:p>
            <w:pPr>
              <w:keepNext w:val="false"/>
              <w:spacing w:after="20" w:line="240"/>
            </w:pPr>
            <w:r>
              <w:rPr>
                <w:color w:val="1a1a1a"/>
                <w:sz w:val="16"/>
                <w:szCs w:val="16"/>
              </w:rPr>
              <w:t xml:space="preserve">Sammanfattningen för lärare, och hur strategierna urvattnas</w:t>
            </w:r>
          </w:p>
          <w:p>
            <w:pPr>
              <w:keepNext w:val="false"/>
              <w:spacing w:after="20" w:line="240"/>
            </w:pPr>
            <w:hyperlink w:history="1" r:id="rIdjmyhc4kuy1hjaimstzi2u">
              <w:r>
                <w:rPr>
                  <w:color w:val="0563C1"/>
                  <w:sz w:val="15"/>
                  <w:szCs w:val="15"/>
                  <w:u w:val="single" w:color="0563C1"/>
                </w:rPr>
                <w:t xml:space="preserve">d2tic4wvo1iusb.cloudfront.net</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Pashler, H., Bain, P. M., Bottge, B. A. m.fl. (2007). Organizing Instruction and Study to Improve Student Learning. IES Practice Guide, National Center for Education Research.</w:t>
            </w:r>
          </w:p>
          <w:p>
            <w:pPr>
              <w:keepNext w:val="false"/>
              <w:spacing w:after="20" w:line="240"/>
            </w:pPr>
            <w:r>
              <w:rPr>
                <w:color w:val="1a1a1a"/>
                <w:sz w:val="16"/>
                <w:szCs w:val="16"/>
              </w:rPr>
              <w:t xml:space="preserve">Sju råd från IES, med stödet för vart och ett</w:t>
            </w:r>
          </w:p>
          <w:p>
            <w:pPr>
              <w:keepNext w:val="false"/>
              <w:spacing w:after="20" w:line="240"/>
            </w:pPr>
            <w:hyperlink w:history="1" r:id="rIdelest0zxoji_9pfh6yzvx">
              <w:r>
                <w:rPr>
                  <w:color w:val="0563C1"/>
                  <w:sz w:val="15"/>
                  <w:szCs w:val="15"/>
                  <w:u w:val="single" w:color="0563C1"/>
                </w:rPr>
                <w:t xml:space="preserve">ERIC ED498555</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Sweller, J., van Merriënboer, J. J. G. och Paas, F. (2019). Cognitive Architecture and Instructional Design: 20 Years Later. Educational Psychology Review.</w:t>
            </w:r>
          </w:p>
          <w:p>
            <w:pPr>
              <w:keepNext w:val="false"/>
              <w:spacing w:after="20" w:line="240"/>
            </w:pPr>
            <w:r>
              <w:rPr>
                <w:color w:val="1a1a1a"/>
                <w:sz w:val="16"/>
                <w:szCs w:val="16"/>
              </w:rPr>
              <w:t xml:space="preserve">Belastningen på arbetsminnet, och det eleven redan kan</w:t>
            </w:r>
          </w:p>
          <w:p>
            <w:pPr>
              <w:keepNext w:val="false"/>
              <w:spacing w:after="20" w:line="240"/>
            </w:pPr>
            <w:hyperlink w:history="1" r:id="rIda2_ntn6wo48dac2_2pt8w">
              <w:r>
                <w:rPr>
                  <w:color w:val="0563C1"/>
                  <w:sz w:val="15"/>
                  <w:szCs w:val="15"/>
                  <w:u w:val="single" w:color="0563C1"/>
                </w:rPr>
                <w:t xml:space="preserve">DOI 10.1007/s10648-019-09465-5</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Weinstein, Y., Madan, C. R. och Sumeracki, M. A. (2018). Teaching the science of learning. Cognitive Research: Principles and Implications.</w:t>
            </w:r>
          </w:p>
          <w:p>
            <w:pPr>
              <w:keepNext w:val="false"/>
              <w:spacing w:after="20" w:line="240"/>
            </w:pPr>
            <w:r>
              <w:rPr>
                <w:color w:val="1a1a1a"/>
                <w:sz w:val="16"/>
                <w:szCs w:val="16"/>
              </w:rPr>
              <w:t xml:space="preserve">Strategierna för lärare, och var underlaget är tunt</w:t>
            </w:r>
          </w:p>
          <w:p>
            <w:pPr>
              <w:keepNext w:val="false"/>
              <w:spacing w:after="20" w:line="240"/>
            </w:pPr>
            <w:hyperlink w:history="1" r:id="rId053jzwghl4hqkpltwxnxj">
              <w:r>
                <w:rPr>
                  <w:color w:val="0563C1"/>
                  <w:sz w:val="15"/>
                  <w:szCs w:val="15"/>
                  <w:u w:val="single" w:color="0563C1"/>
                </w:rPr>
                <w:t xml:space="preserve">DOI 10.1186/s41235-017-0087-y</w:t>
              </w:r>
            </w:hyperlink>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niclasfohlin.se/metoder/larande-pa-kognitionsvetenskaplig-grund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Lärande på kognitionsvetenskaplig grund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uatwgmmskt_vmbhlsczy" Type="http://schemas.openxmlformats.org/officeDocument/2006/relationships/hyperlink" Target="https://niclasfohlin.se/metoder/larande-pa-kognitionsvetenskaplig-grund#metodkortet" TargetMode="External"/><Relationship Id="rIdwr5ooc3uojodkevk2e1fd" Type="http://schemas.openxmlformats.org/officeDocument/2006/relationships/hyperlink" Target="https://doi.org/10.3102/0013189X20912798" TargetMode="External"/><Relationship Id="rIdethg6xcvfc_clzzaibuq5" Type="http://schemas.openxmlformats.org/officeDocument/2006/relationships/hyperlink" Target="https://doi.org/10.3102/0013189X16656615" TargetMode="External"/><Relationship Id="rId6kqwvvefnf9xeskynuu5v" Type="http://schemas.openxmlformats.org/officeDocument/2006/relationships/hyperlink" Target="https://niclasfohlin.se/strategier/ord-och-bild" TargetMode="External"/><Relationship Id="rIdhxwfafnhxoflu_2klsr4u" Type="http://schemas.openxmlformats.org/officeDocument/2006/relationships/hyperlink" Target="https://s3.eu-west-2.amazonaws.com/ambition-institute/documents/AMB_A4_Meta_Analysis_Dual_Coding_Full_Paper_Digital_-_Aug_26.pdf" TargetMode="External"/><Relationship Id="rId0efw4ga_sl5adyyqmg8ug" Type="http://schemas.openxmlformats.org/officeDocument/2006/relationships/hyperlink" Target="https://doi.org/10.26300/jas3-2b83" TargetMode="External"/><Relationship Id="rIdful1rozvlomiatfluindl" Type="http://schemas.openxmlformats.org/officeDocument/2006/relationships/hyperlink" Target="https://doi.org/10.1177/2332858420901696" TargetMode="External"/><Relationship Id="rIdwfnvxwz8tilmagxabhgpm" Type="http://schemas.openxmlformats.org/officeDocument/2006/relationships/hyperlink" Target="https://educationendowmentfoundation.org.uk/education-evidence/evidence-reviews/cognitive-science-approaches-in-the-classroom" TargetMode="External"/><Relationship Id="rIdtmduvajevwe-ebnxek2hb" Type="http://schemas.openxmlformats.org/officeDocument/2006/relationships/hyperlink" Target="https://doi.org/10.1007/s10648-026-10225-5" TargetMode="External"/><Relationship Id="rIdj5-xnspynzouonebntyrj" Type="http://schemas.openxmlformats.org/officeDocument/2006/relationships/hyperlink" Target="https://educationendowmentfoundation.org.uk/projects-and-evaluation/projects/using-examples-to-teach-grammar-to-year-7-cognitive-science-teacher-choices" TargetMode="External"/><Relationship Id="rIdcsncn7_laihwk2qz7cqq0" Type="http://schemas.openxmlformats.org/officeDocument/2006/relationships/hyperlink" Target="https://doi.org/10.1080/00220973.2019.1619067" TargetMode="External"/><Relationship Id="rIdtsigjdmflj3s-lit8_dna" Type="http://schemas.openxmlformats.org/officeDocument/2006/relationships/hyperlink" Target="https://doi.org/10.1002/tea.21923" TargetMode="External"/><Relationship Id="rId5jimdnn0ozzpot8d98ebf" Type="http://schemas.openxmlformats.org/officeDocument/2006/relationships/hyperlink" Target="https://doi.org/10.1037/edu0000367" TargetMode="External"/><Relationship Id="rIdzbas6lgmwym1d6ghpkr0f" Type="http://schemas.openxmlformats.org/officeDocument/2006/relationships/hyperlink" Target="https://d2tic4wvo1iusb.cloudfront.net/production/documents/projects/A-Winning-Start-second-run-Final.pdf" TargetMode="External"/><Relationship Id="rIdpdifaohhxo8hhjeap0l1w" Type="http://schemas.openxmlformats.org/officeDocument/2006/relationships/hyperlink" Target="https://niclasfohlin.se/strategier/avlasta-minnet" TargetMode="External"/><Relationship Id="rIddvkn-gkzqvwyajfpivyta" Type="http://schemas.openxmlformats.org/officeDocument/2006/relationships/hyperlink" Target="https://niclasfohlin.se/strategier/ord-och-bild" TargetMode="External"/><Relationship Id="rIdljocspe9yq4fqbe36be0-" Type="http://schemas.openxmlformats.org/officeDocument/2006/relationships/hyperlink" Target="https://education.nsw.gov.au/content/dam/main-education/about-us/educational-data/cese/2017-cognitive-load-theory-practice-guide.pdf" TargetMode="External"/><Relationship Id="rIdjmyhc4kuy1hjaimstzi2u" Type="http://schemas.openxmlformats.org/officeDocument/2006/relationships/hyperlink" Target="https://d2tic4wvo1iusb.cloudfront.net/production/documents/guidance/Cognitive_science_approaches_in_the_classroom_-_A_review_of_the_evidence.pdf" TargetMode="External"/><Relationship Id="rIdelest0zxoji_9pfh6yzvx" Type="http://schemas.openxmlformats.org/officeDocument/2006/relationships/hyperlink" Target="https://eric.ed.gov/?id=ED498555" TargetMode="External"/><Relationship Id="rIda2_ntn6wo48dac2_2pt8w" Type="http://schemas.openxmlformats.org/officeDocument/2006/relationships/hyperlink" Target="https://doi.org/10.1007/s10648-019-09465-5" TargetMode="External"/><Relationship Id="rId053jzwghl4hqkpltwxnxj" Type="http://schemas.openxmlformats.org/officeDocument/2006/relationships/hyperlink" Target="https://doi.org/10.1186/s41235-017-0087-y"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2026-11-04T05:14:31.229Z</dcterms:created>
  <dcterms:modified xsi:type="dcterms:W3CDTF">2026-11-04T05:14:31.229Z</dcterms:modified>
</cp:coreProperties>
</file>

<file path=docProps/custom.xml><?xml version="1.0" encoding="utf-8"?>
<Properties xmlns="http://schemas.openxmlformats.org/officeDocument/2006/custom-properties" xmlns:vt="http://schemas.openxmlformats.org/officeDocument/2006/docPropsVTypes"/>
</file>