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70"/>
      </w:tblGrid>
      <w:tr>
        <w:trPr>
          <w:cantSplit/>
        </w:trPr>
        <w:tc>
          <w:tcPr>
            <w:tcW w:type="dxa" w:w="14570"/>
            <w:tcBorders>
              <w:top w:val="single" w:color="2F5D50" w:sz="4"/>
              <w:left w:val="single" w:color="2F5D50" w:sz="4"/>
              <w:bottom w:val="single" w:color="2F5D50" w:sz="4"/>
              <w:right w:val="single" w:color="2F5D50" w:sz="4"/>
            </w:tcBorders>
            <w:shd w:fill="2F5D5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433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pacing w:val="20"/>
                <w:sz w:val="15"/>
                <w:szCs w:val="15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Chambers boksamtal i grupp</w:t>
            </w:r>
            <w: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pacing w:val="20"/>
                <w:sz w:val="15"/>
                <w:szCs w:val="15"/>
              </w:rPr>
              <w:t xml:space="preserve">Metoden · 1/4</w:t>
            </w:r>
          </w:p>
        </w:tc>
      </w:tr>
    </w:tbl>
    <w:p>
      <w:pPr>
        <w:spacing w:after="120" w:before="0"/>
      </w:pP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42"/>
        <w:gridCol w:w="3642"/>
        <w:gridCol w:w="3642"/>
        <w:gridCol w:w="3644"/>
      </w:tblGrid>
      <w:tr>
        <w:trPr>
          <w:cantSplit/>
        </w:trPr>
        <w:tc>
          <w:tcPr>
            <w:tcW w:type="dxa" w:w="3642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5A635E"/>
                <w:spacing w:val="20"/>
                <w:sz w:val="15"/>
                <w:szCs w:val="15"/>
              </w:rPr>
              <w:t xml:space="preserve">Passlängd</w:t>
            </w:r>
          </w:p>
          <w:p>
            <w:pPr>
              <w:spacing w:after="0" w:before="0"/>
            </w:pPr>
            <w:r>
              <w:rPr>
                <w:b/>
                <w:bCs/>
                <w:sz w:val="24"/>
                <w:szCs w:val="24"/>
              </w:rPr>
              <w:t xml:space="preserve">Cirka 30 minuter</w:t>
            </w:r>
          </w:p>
        </w:tc>
        <w:tc>
          <w:tcPr>
            <w:tcW w:type="dxa" w:w="3642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5A635E"/>
                <w:spacing w:val="20"/>
                <w:sz w:val="15"/>
                <w:szCs w:val="15"/>
              </w:rPr>
              <w:t xml:space="preserve">Grupp</w:t>
            </w:r>
          </w:p>
          <w:p>
            <w:pPr>
              <w:spacing w:after="0" w:before="0"/>
            </w:pPr>
            <w:r>
              <w:rPr>
                <w:b/>
                <w:bCs/>
                <w:sz w:val="24"/>
                <w:szCs w:val="24"/>
              </w:rPr>
              <w:t xml:space="preserve">Fyra till tio elever</w:t>
            </w:r>
          </w:p>
        </w:tc>
        <w:tc>
          <w:tcPr>
            <w:tcW w:type="dxa" w:w="3642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5A635E"/>
                <w:spacing w:val="20"/>
                <w:sz w:val="15"/>
                <w:szCs w:val="15"/>
              </w:rPr>
              <w:t xml:space="preserve">Frekvens</w:t>
            </w:r>
          </w:p>
          <w:p>
            <w:pPr>
              <w:spacing w:after="0" w:before="0"/>
            </w:pPr>
            <w:r>
              <w:rPr>
                <w:b/>
                <w:bCs/>
                <w:sz w:val="24"/>
                <w:szCs w:val="24"/>
              </w:rPr>
              <w:t xml:space="preserve">Två till tre pass i veckan i sex till åtta veckor</w:t>
            </w:r>
          </w:p>
        </w:tc>
        <w:tc>
          <w:tcPr>
            <w:tcW w:type="dxa" w:w="3644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5A635E"/>
                <w:spacing w:val="20"/>
                <w:sz w:val="15"/>
                <w:szCs w:val="15"/>
              </w:rPr>
              <w:t xml:space="preserve">Innehåll</w:t>
            </w:r>
          </w:p>
          <w:p>
            <w:pPr>
              <w:spacing w:after="0" w:before="0"/>
            </w:pPr>
            <w:r>
              <w:rPr>
                <w:b/>
                <w:bCs/>
                <w:sz w:val="24"/>
                <w:szCs w:val="24"/>
              </w:rPr>
              <w:t xml:space="preserve">En kort skönlitterär text</w:t>
            </w:r>
          </w:p>
        </w:tc>
      </w:tr>
    </w:tbl>
    <w:p>
      <w:pPr>
        <w:spacing w:after="120" w:before="0"/>
      </w:pPr>
    </w:p>
    <w:tbl>
      <w:tblPr>
        <w:tblW w:type="dxa" w:w="1457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05"/>
        <w:gridCol w:w="360"/>
        <w:gridCol w:w="7105"/>
      </w:tblGrid>
      <w:tr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2F5D50"/>
                <w:spacing w:val="20"/>
                <w:sz w:val="15"/>
                <w:szCs w:val="15"/>
              </w:rPr>
              <w:t xml:space="preserve">Så fungerar insatsen</w:t>
            </w:r>
          </w:p>
          <w:p>
            <w:pPr>
              <w:spacing w:after="120" w:before="0"/>
            </w:pPr>
            <w:r>
              <w:rPr>
                <w:sz w:val="20"/>
                <w:szCs w:val="20"/>
              </w:rPr>
              <w:t xml:space="preserve">Lärarlett samtal om skönlitteratur som utvecklar elevens tänkande. Eleverna läser en kort text, delar sina först-tankar med fyra enkla frågor och fördjupar sedan samtalet tillsammans.</w:t>
            </w:r>
          </w:p>
          <w:p>
            <w:pPr>
              <w:spacing w:after="120" w:before="0"/>
            </w:pPr>
            <w:r>
              <w:rPr>
                <w:sz w:val="20"/>
                <w:szCs w:val="20"/>
              </w:rPr>
              <w:t xml:space="preserve">Syftet är inte att kontrollera att eleverna läst rätt. Läraren leder, men ingen sitter på de rätta svaren, inte ens läraren.</w:t>
            </w: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pacing w:val="20"/>
                      <w:sz w:val="16"/>
                      <w:szCs w:val="16"/>
                    </w:rPr>
                    <w:t xml:space="preserve">Tre saker att hålla fast vid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8"/>
                    <w:left w:val="single" w:color="18221D" w:sz="8"/>
                    <w:bottom w:val="single" w:color="18221D" w:sz="8"/>
                    <w:right w:val="single" w:color="18221D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Säg ”jag undrar” i stället för ”varför”.</w:t>
                  </w:r>
                  <w:r>
                    <w:rPr>
                      <w:sz w:val="20"/>
                      <w:szCs w:val="20"/>
                    </w:rPr>
                    <w:t xml:space="preserve"> Varför kan låta som ett förhör.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Det finns inget facit.</w:t>
                  </w:r>
                  <w:r>
                    <w:rPr>
                      <w:sz w:val="20"/>
                      <w:szCs w:val="20"/>
                    </w:rPr>
                    <w:t xml:space="preserve"> Alla svar är värda att höra, även det som ingen annan tänkte.</w:t>
                  </w:r>
                </w:p>
                <w:p>
                  <w:pPr>
                    <w:spacing w:after="0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Fråga ofta ”hur vet du det?”</w:t>
                  </w:r>
                  <w:r>
                    <w:rPr>
                      <w:sz w:val="20"/>
                      <w:szCs w:val="20"/>
                    </w:rPr>
                    <w:t xml:space="preserve"> Då går eleverna tillbaka till texten.</w:t>
                  </w:r>
                </w:p>
              </w:tc>
            </w:tr>
          </w:tbl>
          <w:p>
            <w:pPr>
              <w:spacing w:after="120" w:before="0"/>
            </w:pPr>
          </w:p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2F5D50"/>
                <w:spacing w:val="20"/>
                <w:sz w:val="15"/>
                <w:szCs w:val="15"/>
              </w:rPr>
              <w:t xml:space="preserve">Arbetsform</w:t>
            </w:r>
          </w:p>
          <w:p>
            <w:pPr>
              <w:spacing w:after="120" w:before="0"/>
            </w:pPr>
            <w:r>
              <w:rPr>
                <w:sz w:val="20"/>
                <w:szCs w:val="20"/>
              </w:rPr>
              <w:t xml:space="preserve">Gemensamt (läraren läser och modellerar) → enskilt eller i par (eleverna läser och markerar) → gemensamt igen (samla först-tankar och fördjupa)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2F5D50"/>
                <w:spacing w:val="20"/>
                <w:sz w:val="15"/>
                <w:szCs w:val="15"/>
              </w:rPr>
              <w:t xml:space="preserve">Frågorna: vilka och när</w:t>
            </w: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059"/>
              <w:gridCol w:w="4806"/>
            </w:tblGrid>
            <w:tr>
              <w:trPr>
                <w:cantSplit/>
                <w:tblHeader/>
              </w:trPr>
              <w:tc>
                <w:tcPr>
                  <w:tcW w:type="dxa" w:w="2059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0"/>
                      <w:szCs w:val="20"/>
                    </w:rPr>
                    <w:t xml:space="preserve">Frågetyp</w:t>
                  </w:r>
                </w:p>
              </w:tc>
              <w:tc>
                <w:tcPr>
                  <w:tcW w:type="dxa" w:w="4806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0"/>
                      <w:szCs w:val="20"/>
                    </w:rPr>
                    <w:t xml:space="preserve">Exempel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5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2F5D50"/>
                      <w:sz w:val="20"/>
                      <w:szCs w:val="20"/>
                    </w:rPr>
                    <w:t xml:space="preserve">Grundfrågor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5A635E"/>
                      <w:sz w:val="20"/>
                      <w:szCs w:val="20"/>
                    </w:rPr>
                    <w:t xml:space="preserve">Steg 2, alltid. Laget runt, en i taget.</w:t>
                  </w:r>
                </w:p>
              </w:tc>
              <w:tc>
                <w:tcPr>
                  <w:tcW w:type="dxa" w:w="4806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sz w:val="20"/>
                      <w:szCs w:val="20"/>
                    </w:rPr>
                    <w:t xml:space="preserve">”Var det något du gillade?”</w:t>
                  </w:r>
                </w:p>
                <w:p>
                  <w:pPr>
                    <w:spacing w:after="20" w:before="0"/>
                  </w:pPr>
                  <w:r>
                    <w:rPr>
                      <w:sz w:val="20"/>
                      <w:szCs w:val="20"/>
                    </w:rPr>
                    <w:t xml:space="preserve">”Var det något du inte gillade?”</w:t>
                  </w:r>
                </w:p>
                <w:p>
                  <w:pPr>
                    <w:spacing w:after="20" w:before="0"/>
                  </w:pPr>
                  <w:r>
                    <w:rPr>
                      <w:sz w:val="20"/>
                      <w:szCs w:val="20"/>
                    </w:rPr>
                    <w:t xml:space="preserve">”Var det något du inte förstod eller undrade över?”</w:t>
                  </w:r>
                </w:p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”Lade du märke till några mönster eller kopplingar?”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5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2F5D50"/>
                      <w:sz w:val="20"/>
                      <w:szCs w:val="20"/>
                    </w:rPr>
                    <w:t xml:space="preserve">Allmänna frågor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5A635E"/>
                      <w:sz w:val="20"/>
                      <w:szCs w:val="20"/>
                    </w:rPr>
                    <w:t xml:space="preserve">Steg 3, för att vidga.</w:t>
                  </w:r>
                </w:p>
              </w:tc>
              <w:tc>
                <w:tcPr>
                  <w:tcW w:type="dxa" w:w="4806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sz w:val="20"/>
                      <w:szCs w:val="20"/>
                    </w:rPr>
                    <w:t xml:space="preserve">”Vad lade du märke till först?”</w:t>
                  </w:r>
                </w:p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”Påminner den om något du läst förut?”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5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2F5D50"/>
                      <w:sz w:val="20"/>
                      <w:szCs w:val="20"/>
                    </w:rPr>
                    <w:t xml:space="preserve">Specialfrågor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5A635E"/>
                      <w:sz w:val="20"/>
                      <w:szCs w:val="20"/>
                    </w:rPr>
                    <w:t xml:space="preserve">Steg 3, förberedda om just den texten.</w:t>
                  </w:r>
                </w:p>
              </w:tc>
              <w:tc>
                <w:tcPr>
                  <w:tcW w:type="dxa" w:w="4806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sz w:val="20"/>
                      <w:szCs w:val="20"/>
                    </w:rPr>
                    <w:t xml:space="preserve">”Vems berättelse är det här?”</w:t>
                  </w:r>
                </w:p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”Vad tyckte du om slutet?”</w:t>
                  </w:r>
                </w:p>
              </w:tc>
            </w:tr>
          </w:tbl>
          <w:p>
            <w:pPr>
              <w:spacing w:after="160" w:before="0"/>
            </w:pP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</w:trPr>
              <w:tc>
                <w:tcPr>
                  <w:tcW w:type="dxa" w:w="686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Den viktigaste frågan i steg 3 är ”hur vet du det?” Den skickar eleven tillbaka till texten för att hitta stöd. Det är där tänkandet växer.</w:t>
                  </w:r>
                </w:p>
              </w:tc>
            </w:tr>
          </w:tbl>
          <w:p>
            <w:pPr>
              <w:spacing w:after="120" w:before="0"/>
            </w:pPr>
          </w:p>
        </w:tc>
      </w:tr>
    </w:tbl>
    <w:p>
      <w:pPr>
        <w:sectPr>
          <w:headerReference w:type="default" r:id="rId7"/>
          <w:footerReference w:type="default" r:id="rId8"/>
          <w:pgSz w:w="16838" w:h="11906" w:orient="landscape"/>
          <w:pgMar w:top="1134" w:right="1134" w:bottom="1134" w:left="1134" w:header="567" w:footer="567" w:gutter="0"/>
          <w:pgNumType/>
          <w:docGrid w:linePitch="360"/>
        </w:sectPr>
      </w:pP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70"/>
      </w:tblGrid>
      <w:tr>
        <w:trPr>
          <w:cantSplit/>
        </w:trPr>
        <w:tc>
          <w:tcPr>
            <w:tcW w:type="dxa" w:w="14570"/>
            <w:tcBorders>
              <w:top w:val="single" w:color="2F5D50" w:sz="4"/>
              <w:left w:val="single" w:color="2F5D50" w:sz="4"/>
              <w:bottom w:val="single" w:color="2F5D50" w:sz="4"/>
              <w:right w:val="single" w:color="2F5D50" w:sz="4"/>
            </w:tcBorders>
            <w:shd w:fill="2F5D5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433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pacing w:val="20"/>
                <w:sz w:val="15"/>
                <w:szCs w:val="15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Vi kör ett pass: texten ”Nyckeln”</w:t>
            </w:r>
            <w: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pacing w:val="20"/>
                <w:sz w:val="15"/>
                <w:szCs w:val="15"/>
              </w:rPr>
              <w:t xml:space="preserve">Ett pass · 2/4</w:t>
            </w:r>
          </w:p>
        </w:tc>
      </w:tr>
    </w:tbl>
    <w:p>
      <w:pPr>
        <w:spacing w:after="120" w:before="0"/>
      </w:pPr>
    </w:p>
    <w:tbl>
      <w:tblPr>
        <w:tblW w:type="dxa" w:w="1457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05"/>
        <w:gridCol w:w="360"/>
        <w:gridCol w:w="7105"/>
      </w:tblGrid>
      <w:tr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pacing w:val="20"/>
                      <w:sz w:val="16"/>
                      <w:szCs w:val="16"/>
                    </w:rPr>
                    <w:t xml:space="preserve">Texten · cirka en sida, åk 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8"/>
                    <w:left w:val="single" w:color="18221D" w:sz="8"/>
                    <w:bottom w:val="single" w:color="18221D" w:sz="8"/>
                    <w:right w:val="single" w:color="18221D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40" w:before="0"/>
                  </w:pPr>
                  <w:r>
                    <w:rPr>
                      <w:b/>
                      <w:bCs/>
                      <w:sz w:val="21"/>
                      <w:szCs w:val="21"/>
                    </w:rPr>
                    <w:t xml:space="preserve">Nyckeln</w:t>
                  </w:r>
                </w:p>
                <w:p>
                  <w:pPr>
                    <w:spacing w:after="40" w:before="0"/>
                  </w:pPr>
                  <w:r>
                    <w:rPr>
                      <w:sz w:val="18"/>
                      <w:szCs w:val="18"/>
                    </w:rPr>
                    <w:t xml:space="preserve">Det låg en nyckel på asfalten utanför kiosken. Alva såg den först, men det var Milo som tog upp den.</w:t>
                  </w:r>
                </w:p>
                <w:p>
                  <w:pPr>
                    <w:spacing w:after="40" w:before="0"/>
                  </w:pPr>
                  <w:r>
                    <w:rPr>
                      <w:sz w:val="18"/>
                      <w:szCs w:val="18"/>
                    </w:rPr>
                    <w:t xml:space="preserve">– Den är min nu, sa han.</w:t>
                  </w:r>
                </w:p>
                <w:p>
                  <w:pPr>
                    <w:spacing w:after="40" w:before="0"/>
                  </w:pPr>
                  <w:r>
                    <w:rPr>
                      <w:sz w:val="18"/>
                      <w:szCs w:val="18"/>
                    </w:rPr>
                    <w:t xml:space="preserve">– Den är inte din. Den är någons, sa Alva.</w:t>
                  </w:r>
                </w:p>
                <w:p>
                  <w:pPr>
                    <w:spacing w:after="40" w:before="0"/>
                  </w:pPr>
                  <w:r>
                    <w:rPr>
                      <w:sz w:val="18"/>
                      <w:szCs w:val="18"/>
                    </w:rPr>
                    <w:t xml:space="preserve">Milo vände nyckeln i handen. På den satt en bricka av trä med tre bokstäver: E V A.</w:t>
                  </w:r>
                </w:p>
                <w:p>
                  <w:pPr>
                    <w:spacing w:after="40" w:before="0"/>
                  </w:pPr>
                  <w:r>
                    <w:rPr>
                      <w:sz w:val="18"/>
                      <w:szCs w:val="18"/>
                    </w:rPr>
                    <w:t xml:space="preserve">– Vi kan sätta upp en lapp, sa Alva.</w:t>
                  </w:r>
                </w:p>
                <w:p>
                  <w:pPr>
                    <w:spacing w:after="40" w:before="0"/>
                  </w:pPr>
                  <w:r>
                    <w:rPr>
                      <w:sz w:val="18"/>
                      <w:szCs w:val="18"/>
                    </w:rPr>
                    <w:t xml:space="preserve">Milo stoppade nyckeln i fickan. – Eller så väntar vi. Letar någon så kommer de tillbaka hit.</w:t>
                  </w:r>
                </w:p>
                <w:p>
                  <w:pPr>
                    <w:spacing w:after="40" w:before="0"/>
                  </w:pPr>
                  <w:r>
                    <w:rPr>
                      <w:sz w:val="18"/>
                      <w:szCs w:val="18"/>
                    </w:rPr>
                    <w:t xml:space="preserve">De satte sig på trappan. Alva räknade sjutton personer som gick förbi. Ingen letade efter någonting.</w:t>
                  </w:r>
                </w:p>
                <w:p>
                  <w:pPr>
                    <w:spacing w:after="0" w:before="0"/>
                  </w:pPr>
                  <w:r>
                    <w:rPr>
                      <w:sz w:val="18"/>
                      <w:szCs w:val="18"/>
                    </w:rPr>
                    <w:t xml:space="preserve">När klockan blev fem reste Milo sig upp och gav nyckeln till Alva. – Du såg den först, sa han.</w:t>
                  </w:r>
                </w:p>
              </w:tc>
            </w:tr>
          </w:tbl>
          <w:p>
            <w:pPr>
              <w:spacing w:after="120" w:before="0"/>
            </w:pP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</w:trPr>
              <w:tc>
                <w:tcPr>
                  <w:tcW w:type="dxa" w:w="686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keepNext/>
                    <w:spacing w:after="6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8A5A1E"/>
                      <w:spacing w:val="20"/>
                      <w:sz w:val="15"/>
                      <w:szCs w:val="15"/>
                    </w:rPr>
                    <w:t xml:space="preserve">Mina tre specialfrågor</w:t>
                  </w:r>
                </w:p>
                <w:p>
                  <w:pPr>
                    <w:spacing w:after="0" w:before="0"/>
                  </w:pPr>
                  <w:r>
                    <w:rPr>
                      <w:sz w:val="18"/>
                      <w:szCs w:val="18"/>
                    </w:rPr>
                    <w:t xml:space="preserve">Vems berättelse är det här? · Vad tyckte du om slutet? · Vilken person blev du mest nyfiken på?</w:t>
                  </w:r>
                </w:p>
              </w:tc>
            </w:tr>
          </w:tbl>
          <w:p>
            <w:pPr>
              <w:spacing w:after="120" w:before="0"/>
            </w:pP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2F5D50"/>
                <w:spacing w:val="20"/>
                <w:sz w:val="15"/>
                <w:szCs w:val="15"/>
              </w:rPr>
              <w:t xml:space="preserve">30 minuter, steg för steg</w:t>
            </w: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300"/>
              <w:gridCol w:w="5565"/>
            </w:tblGrid>
            <w:tr>
              <w:trPr>
                <w:cantSplit/>
                <w:tblHeader/>
              </w:trPr>
              <w:tc>
                <w:tcPr>
                  <w:tcW w:type="dxa" w:w="1300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pacing w:val="20"/>
                      <w:sz w:val="16"/>
                      <w:szCs w:val="16"/>
                    </w:rPr>
                    <w:t xml:space="preserve">Tid</w:t>
                  </w:r>
                </w:p>
              </w:tc>
              <w:tc>
                <w:tcPr>
                  <w:tcW w:type="dxa" w:w="5565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pacing w:val="20"/>
                      <w:sz w:val="16"/>
                      <w:szCs w:val="16"/>
                    </w:rPr>
                    <w:t xml:space="preserve">Vad händer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5A635E"/>
                      <w:sz w:val="18"/>
                      <w:szCs w:val="18"/>
                    </w:rPr>
                    <w:t xml:space="preserve">Före</w:t>
                  </w:r>
                </w:p>
              </w:tc>
              <w:tc>
                <w:tcPr>
                  <w:tcW w:type="dxa" w:w="5565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19"/>
                      <w:szCs w:val="19"/>
                    </w:rPr>
                    <w:t xml:space="preserve">Förberedelse</w:t>
                  </w:r>
                </w:p>
                <w:p>
                  <w:pPr>
                    <w:spacing w:after="0" w:before="0"/>
                  </w:pPr>
                  <w:r>
                    <w:rPr>
                      <w:sz w:val="18"/>
                      <w:szCs w:val="18"/>
                    </w:rPr>
                    <w:t xml:space="preserve">Välj en kort text. Läs den själv. Förbered två till tre specialfrågor. Bestäm hur texten ska läsas.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5A635E"/>
                      <w:sz w:val="18"/>
                      <w:szCs w:val="18"/>
                    </w:rPr>
                    <w:t xml:space="preserve">0–10</w:t>
                  </w:r>
                </w:p>
              </w:tc>
              <w:tc>
                <w:tcPr>
                  <w:tcW w:type="dxa" w:w="5565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19"/>
                      <w:szCs w:val="19"/>
                    </w:rPr>
                    <w:t xml:space="preserve">1 · Läs: möt texten</w:t>
                  </w:r>
                </w:p>
                <w:p>
                  <w:pPr>
                    <w:spacing w:after="10" w:before="0"/>
                  </w:pPr>
                  <w:r>
                    <w:rPr>
                      <w:sz w:val="18"/>
                      <w:szCs w:val="18"/>
                    </w:rPr>
                    <w:t xml:space="preserve">Läraren läser högt och tänker högt på ett par ställen. Eleverna läser sedan i par eller tyst och markerar något de fastnade för.</w:t>
                  </w:r>
                </w:p>
                <w:p>
                  <w:pPr>
                    <w:spacing w:after="0" w:before="0"/>
                  </w:pPr>
                  <w:r>
                    <w:rPr>
                      <w:i/>
                      <w:iCs/>
                      <w:color w:val="8A5A1E"/>
                      <w:sz w:val="18"/>
                      <w:szCs w:val="18"/>
                    </w:rPr>
                    <w:t xml:space="preserve">”Här undrar jag vad som händer sen.” · ”Markera en mening du fastnade för.”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5A635E"/>
                      <w:sz w:val="18"/>
                      <w:szCs w:val="18"/>
                    </w:rPr>
                    <w:t xml:space="preserve">10–15</w:t>
                  </w:r>
                </w:p>
              </w:tc>
              <w:tc>
                <w:tcPr>
                  <w:tcW w:type="dxa" w:w="5565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19"/>
                      <w:szCs w:val="19"/>
                    </w:rPr>
                    <w:t xml:space="preserve">2 · Samla först-tankar</w:t>
                  </w:r>
                </w:p>
                <w:p>
                  <w:pPr>
                    <w:spacing w:after="0" w:before="0"/>
                  </w:pPr>
                  <w:r>
                    <w:rPr>
                      <w:sz w:val="18"/>
                      <w:szCs w:val="18"/>
                    </w:rPr>
                    <w:t xml:space="preserve">De fyra grundfrågorna, en i taget, laget runt. Skriv upp svaren i fyra spalter. Ännu ingen lång diskussion.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5A635E"/>
                      <w:sz w:val="18"/>
                      <w:szCs w:val="18"/>
                    </w:rPr>
                    <w:t xml:space="preserve">15–27</w:t>
                  </w:r>
                </w:p>
              </w:tc>
              <w:tc>
                <w:tcPr>
                  <w:tcW w:type="dxa" w:w="5565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19"/>
                      <w:szCs w:val="19"/>
                    </w:rPr>
                    <w:t xml:space="preserve">3 · Fördjupa: hur tänker du?</w:t>
                  </w:r>
                </w:p>
                <w:p>
                  <w:pPr>
                    <w:spacing w:after="10" w:before="0"/>
                  </w:pPr>
                  <w:r>
                    <w:rPr>
                      <w:sz w:val="18"/>
                      <w:szCs w:val="18"/>
                    </w:rPr>
                    <w:t xml:space="preserve">Dra trådar ur spalterna. Lägg till allmänna frågor och specialfrågor. Be om textstöd.</w:t>
                  </w:r>
                </w:p>
                <w:p>
                  <w:pPr>
                    <w:spacing w:after="0" w:before="0"/>
                  </w:pPr>
                  <w:r>
                    <w:rPr>
                      <w:i/>
                      <w:iCs/>
                      <w:color w:val="8A5A1E"/>
                      <w:sz w:val="18"/>
                      <w:szCs w:val="18"/>
                    </w:rPr>
                    <w:t xml:space="preserve">”Berätta mer.” · ”Hur vet du det?” · ”Är det någon som tänker annorlunda?”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5A635E"/>
                      <w:sz w:val="18"/>
                      <w:szCs w:val="18"/>
                    </w:rPr>
                    <w:t xml:space="preserve">27–30</w:t>
                  </w:r>
                </w:p>
              </w:tc>
              <w:tc>
                <w:tcPr>
                  <w:tcW w:type="dxa" w:w="5565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19"/>
                      <w:szCs w:val="19"/>
                    </w:rPr>
                    <w:t xml:space="preserve">4 · Avsluta</w:t>
                  </w:r>
                </w:p>
                <w:p>
                  <w:pPr>
                    <w:spacing w:after="0" w:before="0"/>
                  </w:pPr>
                  <w:r>
                    <w:rPr>
                      <w:sz w:val="18"/>
                      <w:szCs w:val="18"/>
                    </w:rPr>
                    <w:t xml:space="preserve">Var och en säger en sak de tar med sig. Knyt ihop några trådar. Efteråt: kort notering i loggen.</w:t>
                  </w:r>
                </w:p>
              </w:tc>
            </w:tr>
          </w:tbl>
          <w:p/>
        </w:tc>
      </w:tr>
    </w:tbl>
    <w:p>
      <w:pPr>
        <w:sectPr>
          <w:headerReference w:type="default" r:id="rId9"/>
          <w:footerReference w:type="default" r:id="rId10"/>
          <w:pgSz w:w="16838" w:h="11906" w:orient="landscape"/>
          <w:pgMar w:top="1134" w:right="1134" w:bottom="1134" w:left="1134" w:header="567" w:footer="567" w:gutter="0"/>
          <w:pgNumType/>
          <w:docGrid w:linePitch="360"/>
        </w:sectPr>
      </w:pP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70"/>
      </w:tblGrid>
      <w:tr>
        <w:trPr>
          <w:cantSplit/>
        </w:trPr>
        <w:tc>
          <w:tcPr>
            <w:tcW w:type="dxa" w:w="14570"/>
            <w:tcBorders>
              <w:top w:val="single" w:color="2F5D50" w:sz="4"/>
              <w:left w:val="single" w:color="2F5D50" w:sz="4"/>
              <w:bottom w:val="single" w:color="2F5D50" w:sz="4"/>
              <w:right w:val="single" w:color="2F5D50" w:sz="4"/>
            </w:tcBorders>
            <w:shd w:fill="2F5D5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433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pacing w:val="20"/>
                <w:sz w:val="15"/>
                <w:szCs w:val="15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Mallen jag skriver i under samtalet</w:t>
            </w:r>
            <w: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pacing w:val="20"/>
                <w:sz w:val="15"/>
                <w:szCs w:val="15"/>
              </w:rPr>
              <w:t xml:space="preserve">Mallen · 3/4</w:t>
            </w:r>
          </w:p>
        </w:tc>
      </w:tr>
    </w:tbl>
    <w:p>
      <w:pPr>
        <w:spacing w:after="120" w:before="0"/>
      </w:pPr>
    </w:p>
    <w:p>
      <w:pPr>
        <w:pStyle w:val="Heading3"/>
        <w:keepNext/>
        <w:spacing w:after="120" w:before="0"/>
      </w:pPr>
      <w:r>
        <w:rPr>
          <w:rFonts w:ascii="Consolas" w:cs="Consolas" w:eastAsia="Consolas" w:hAnsi="Consolas"/>
          <w:b w:val="false"/>
          <w:bCs w:val="false"/>
          <w:caps/>
          <w:color w:val="5A635E"/>
          <w:spacing w:val="20"/>
          <w:sz w:val="15"/>
          <w:szCs w:val="15"/>
        </w:rPr>
        <w:t xml:space="preserve">Steg 2 · först-tankar, laget runt · elevens egna ord</w:t>
      </w:r>
    </w:p>
    <w:tbl>
      <w:tblPr>
        <w:tblW w:type="dxa" w:w="1457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05"/>
        <w:gridCol w:w="360"/>
        <w:gridCol w:w="7105"/>
      </w:tblGrid>
      <w:tr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8221D" w:sz="12" w:space="2"/>
              </w:pBdr>
              <w:spacing w:after="60"/>
            </w:pPr>
            <w:r>
              <w:rPr>
                <w:rFonts w:ascii="Consolas" w:cs="Consolas" w:eastAsia="Consolas" w:hAnsi="Consolas"/>
                <w:color w:val="2F5D50"/>
                <w:sz w:val="18"/>
                <w:szCs w:val="18"/>
              </w:rPr>
              <w:t xml:space="preserve">1  </w:t>
            </w:r>
            <w:r>
              <w:rPr>
                <w:b/>
                <w:bCs/>
                <w:sz w:val="24"/>
                <w:szCs w:val="24"/>
              </w:rPr>
              <w:t xml:space="preserve">Gillade</w:t>
            </w:r>
            <w:r>
              <w:rPr>
                <w:color w:val="5A635E"/>
                <w:sz w:val="19"/>
                <w:szCs w:val="19"/>
              </w:rPr>
              <w:t xml:space="preserve">  ”Var det något du gillade?”</w:t>
            </w: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  <w:trHeight w:val="330" w:hRule="atLeast"/>
              </w:trPr>
              <w:tc>
                <w:tcPr>
                  <w:tcW w:type="dxa" w:w="6865"/>
                  <w:tcBorders>
                    <w:top w:val="none" w:color="auto" w:sz="0"/>
                    <w:left w:val="none" w:color="auto" w:sz="0"/>
                    <w:bottom w:val="single" w:color="DEDDD7" w:sz="4"/>
                    <w:right w:val="none" w:color="auto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  <w:tr>
              <w:trPr>
                <w:cantSplit/>
                <w:trHeight w:val="330" w:hRule="atLeast"/>
              </w:trPr>
              <w:tc>
                <w:tcPr>
                  <w:tcW w:type="dxa" w:w="6865"/>
                  <w:tcBorders>
                    <w:top w:val="none" w:color="auto" w:sz="0"/>
                    <w:left w:val="none" w:color="auto" w:sz="0"/>
                    <w:bottom w:val="single" w:color="DEDDD7" w:sz="4"/>
                    <w:right w:val="none" w:color="auto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  <w:tr>
              <w:trPr>
                <w:cantSplit/>
                <w:trHeight w:val="330" w:hRule="atLeast"/>
              </w:trPr>
              <w:tc>
                <w:tcPr>
                  <w:tcW w:type="dxa" w:w="6865"/>
                  <w:tcBorders>
                    <w:top w:val="none" w:color="auto" w:sz="0"/>
                    <w:left w:val="none" w:color="auto" w:sz="0"/>
                    <w:bottom w:val="single" w:color="DEDDD7" w:sz="4"/>
                    <w:right w:val="none" w:color="auto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  <w:tr>
              <w:trPr>
                <w:cantSplit/>
                <w:trHeight w:val="330" w:hRule="atLeast"/>
              </w:trPr>
              <w:tc>
                <w:tcPr>
                  <w:tcW w:type="dxa" w:w="6865"/>
                  <w:tcBorders>
                    <w:top w:val="none" w:color="auto" w:sz="0"/>
                    <w:left w:val="none" w:color="auto" w:sz="0"/>
                    <w:bottom w:val="single" w:color="DEDDD7" w:sz="4"/>
                    <w:right w:val="none" w:color="auto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  <w:tr>
              <w:trPr>
                <w:cantSplit/>
                <w:trHeight w:val="330" w:hRule="atLeast"/>
              </w:trPr>
              <w:tc>
                <w:tcPr>
                  <w:tcW w:type="dxa" w:w="6865"/>
                  <w:tcBorders>
                    <w:top w:val="none" w:color="auto" w:sz="0"/>
                    <w:left w:val="none" w:color="auto" w:sz="0"/>
                    <w:bottom w:val="single" w:color="DEDDD7" w:sz="4"/>
                    <w:right w:val="none" w:color="auto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</w:tbl>
          <w:p>
            <w:pPr>
              <w:spacing w:after="80" w:before="0"/>
            </w:pP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8221D" w:sz="12" w:space="2"/>
              </w:pBdr>
              <w:spacing w:after="60"/>
            </w:pPr>
            <w:r>
              <w:rPr>
                <w:rFonts w:ascii="Consolas" w:cs="Consolas" w:eastAsia="Consolas" w:hAnsi="Consolas"/>
                <w:color w:val="2F5D50"/>
                <w:sz w:val="18"/>
                <w:szCs w:val="18"/>
              </w:rPr>
              <w:t xml:space="preserve">2  </w:t>
            </w:r>
            <w:r>
              <w:rPr>
                <w:b/>
                <w:bCs/>
                <w:sz w:val="24"/>
                <w:szCs w:val="24"/>
              </w:rPr>
              <w:t xml:space="preserve">Ogillade</w:t>
            </w:r>
            <w:r>
              <w:rPr>
                <w:color w:val="5A635E"/>
                <w:sz w:val="19"/>
                <w:szCs w:val="19"/>
              </w:rPr>
              <w:t xml:space="preserve">  ”Var det något du inte gillade?”</w:t>
            </w: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  <w:trHeight w:val="330" w:hRule="atLeast"/>
              </w:trPr>
              <w:tc>
                <w:tcPr>
                  <w:tcW w:type="dxa" w:w="6865"/>
                  <w:tcBorders>
                    <w:top w:val="none" w:color="auto" w:sz="0"/>
                    <w:left w:val="none" w:color="auto" w:sz="0"/>
                    <w:bottom w:val="single" w:color="DEDDD7" w:sz="4"/>
                    <w:right w:val="none" w:color="auto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  <w:tr>
              <w:trPr>
                <w:cantSplit/>
                <w:trHeight w:val="330" w:hRule="atLeast"/>
              </w:trPr>
              <w:tc>
                <w:tcPr>
                  <w:tcW w:type="dxa" w:w="6865"/>
                  <w:tcBorders>
                    <w:top w:val="none" w:color="auto" w:sz="0"/>
                    <w:left w:val="none" w:color="auto" w:sz="0"/>
                    <w:bottom w:val="single" w:color="DEDDD7" w:sz="4"/>
                    <w:right w:val="none" w:color="auto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  <w:tr>
              <w:trPr>
                <w:cantSplit/>
                <w:trHeight w:val="330" w:hRule="atLeast"/>
              </w:trPr>
              <w:tc>
                <w:tcPr>
                  <w:tcW w:type="dxa" w:w="6865"/>
                  <w:tcBorders>
                    <w:top w:val="none" w:color="auto" w:sz="0"/>
                    <w:left w:val="none" w:color="auto" w:sz="0"/>
                    <w:bottom w:val="single" w:color="DEDDD7" w:sz="4"/>
                    <w:right w:val="none" w:color="auto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  <w:tr>
              <w:trPr>
                <w:cantSplit/>
                <w:trHeight w:val="330" w:hRule="atLeast"/>
              </w:trPr>
              <w:tc>
                <w:tcPr>
                  <w:tcW w:type="dxa" w:w="6865"/>
                  <w:tcBorders>
                    <w:top w:val="none" w:color="auto" w:sz="0"/>
                    <w:left w:val="none" w:color="auto" w:sz="0"/>
                    <w:bottom w:val="single" w:color="DEDDD7" w:sz="4"/>
                    <w:right w:val="none" w:color="auto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  <w:tr>
              <w:trPr>
                <w:cantSplit/>
                <w:trHeight w:val="330" w:hRule="atLeast"/>
              </w:trPr>
              <w:tc>
                <w:tcPr>
                  <w:tcW w:type="dxa" w:w="6865"/>
                  <w:tcBorders>
                    <w:top w:val="none" w:color="auto" w:sz="0"/>
                    <w:left w:val="none" w:color="auto" w:sz="0"/>
                    <w:bottom w:val="single" w:color="DEDDD7" w:sz="4"/>
                    <w:right w:val="none" w:color="auto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</w:tbl>
          <w:p>
            <w:pPr>
              <w:spacing w:after="80" w:before="0"/>
            </w:pPr>
          </w:p>
        </w:tc>
      </w:tr>
    </w:tbl>
    <w:tbl>
      <w:tblPr>
        <w:tblW w:type="dxa" w:w="1457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05"/>
        <w:gridCol w:w="360"/>
        <w:gridCol w:w="7105"/>
      </w:tblGrid>
      <w:tr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8221D" w:sz="12" w:space="2"/>
              </w:pBdr>
              <w:spacing w:after="60"/>
            </w:pPr>
            <w:r>
              <w:rPr>
                <w:rFonts w:ascii="Consolas" w:cs="Consolas" w:eastAsia="Consolas" w:hAnsi="Consolas"/>
                <w:color w:val="2F5D50"/>
                <w:sz w:val="18"/>
                <w:szCs w:val="18"/>
              </w:rPr>
              <w:t xml:space="preserve">3  </w:t>
            </w:r>
            <w:r>
              <w:rPr>
                <w:b/>
                <w:bCs/>
                <w:sz w:val="24"/>
                <w:szCs w:val="24"/>
              </w:rPr>
              <w:t xml:space="preserve">Frågetecken</w:t>
            </w:r>
            <w:r>
              <w:rPr>
                <w:color w:val="5A635E"/>
                <w:sz w:val="19"/>
                <w:szCs w:val="19"/>
              </w:rPr>
              <w:t xml:space="preserve">  ”Var det något du undrade över?”</w:t>
            </w: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  <w:trHeight w:val="330" w:hRule="atLeast"/>
              </w:trPr>
              <w:tc>
                <w:tcPr>
                  <w:tcW w:type="dxa" w:w="6865"/>
                  <w:tcBorders>
                    <w:top w:val="none" w:color="auto" w:sz="0"/>
                    <w:left w:val="none" w:color="auto" w:sz="0"/>
                    <w:bottom w:val="single" w:color="DEDDD7" w:sz="4"/>
                    <w:right w:val="none" w:color="auto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  <w:tr>
              <w:trPr>
                <w:cantSplit/>
                <w:trHeight w:val="330" w:hRule="atLeast"/>
              </w:trPr>
              <w:tc>
                <w:tcPr>
                  <w:tcW w:type="dxa" w:w="6865"/>
                  <w:tcBorders>
                    <w:top w:val="none" w:color="auto" w:sz="0"/>
                    <w:left w:val="none" w:color="auto" w:sz="0"/>
                    <w:bottom w:val="single" w:color="DEDDD7" w:sz="4"/>
                    <w:right w:val="none" w:color="auto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  <w:tr>
              <w:trPr>
                <w:cantSplit/>
                <w:trHeight w:val="330" w:hRule="atLeast"/>
              </w:trPr>
              <w:tc>
                <w:tcPr>
                  <w:tcW w:type="dxa" w:w="6865"/>
                  <w:tcBorders>
                    <w:top w:val="none" w:color="auto" w:sz="0"/>
                    <w:left w:val="none" w:color="auto" w:sz="0"/>
                    <w:bottom w:val="single" w:color="DEDDD7" w:sz="4"/>
                    <w:right w:val="none" w:color="auto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  <w:tr>
              <w:trPr>
                <w:cantSplit/>
                <w:trHeight w:val="330" w:hRule="atLeast"/>
              </w:trPr>
              <w:tc>
                <w:tcPr>
                  <w:tcW w:type="dxa" w:w="6865"/>
                  <w:tcBorders>
                    <w:top w:val="none" w:color="auto" w:sz="0"/>
                    <w:left w:val="none" w:color="auto" w:sz="0"/>
                    <w:bottom w:val="single" w:color="DEDDD7" w:sz="4"/>
                    <w:right w:val="none" w:color="auto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  <w:tr>
              <w:trPr>
                <w:cantSplit/>
                <w:trHeight w:val="330" w:hRule="atLeast"/>
              </w:trPr>
              <w:tc>
                <w:tcPr>
                  <w:tcW w:type="dxa" w:w="6865"/>
                  <w:tcBorders>
                    <w:top w:val="none" w:color="auto" w:sz="0"/>
                    <w:left w:val="none" w:color="auto" w:sz="0"/>
                    <w:bottom w:val="single" w:color="DEDDD7" w:sz="4"/>
                    <w:right w:val="none" w:color="auto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</w:tbl>
          <w:p>
            <w:pPr>
              <w:spacing w:after="80" w:before="0"/>
            </w:pP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8221D" w:sz="12" w:space="2"/>
              </w:pBdr>
              <w:spacing w:after="60"/>
            </w:pPr>
            <w:r>
              <w:rPr>
                <w:rFonts w:ascii="Consolas" w:cs="Consolas" w:eastAsia="Consolas" w:hAnsi="Consolas"/>
                <w:color w:val="2F5D50"/>
                <w:sz w:val="18"/>
                <w:szCs w:val="18"/>
              </w:rPr>
              <w:t xml:space="preserve">4  </w:t>
            </w:r>
            <w:r>
              <w:rPr>
                <w:b/>
                <w:bCs/>
                <w:sz w:val="24"/>
                <w:szCs w:val="24"/>
              </w:rPr>
              <w:t xml:space="preserve">Mönster</w:t>
            </w:r>
            <w:r>
              <w:rPr>
                <w:color w:val="5A635E"/>
                <w:sz w:val="19"/>
                <w:szCs w:val="19"/>
              </w:rPr>
              <w:t xml:space="preserve">  ”Mönster eller kopplingar?”</w:t>
            </w: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  <w:trHeight w:val="330" w:hRule="atLeast"/>
              </w:trPr>
              <w:tc>
                <w:tcPr>
                  <w:tcW w:type="dxa" w:w="6865"/>
                  <w:tcBorders>
                    <w:top w:val="none" w:color="auto" w:sz="0"/>
                    <w:left w:val="none" w:color="auto" w:sz="0"/>
                    <w:bottom w:val="single" w:color="DEDDD7" w:sz="4"/>
                    <w:right w:val="none" w:color="auto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  <w:tr>
              <w:trPr>
                <w:cantSplit/>
                <w:trHeight w:val="330" w:hRule="atLeast"/>
              </w:trPr>
              <w:tc>
                <w:tcPr>
                  <w:tcW w:type="dxa" w:w="6865"/>
                  <w:tcBorders>
                    <w:top w:val="none" w:color="auto" w:sz="0"/>
                    <w:left w:val="none" w:color="auto" w:sz="0"/>
                    <w:bottom w:val="single" w:color="DEDDD7" w:sz="4"/>
                    <w:right w:val="none" w:color="auto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  <w:tr>
              <w:trPr>
                <w:cantSplit/>
                <w:trHeight w:val="330" w:hRule="atLeast"/>
              </w:trPr>
              <w:tc>
                <w:tcPr>
                  <w:tcW w:type="dxa" w:w="6865"/>
                  <w:tcBorders>
                    <w:top w:val="none" w:color="auto" w:sz="0"/>
                    <w:left w:val="none" w:color="auto" w:sz="0"/>
                    <w:bottom w:val="single" w:color="DEDDD7" w:sz="4"/>
                    <w:right w:val="none" w:color="auto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  <w:tr>
              <w:trPr>
                <w:cantSplit/>
                <w:trHeight w:val="330" w:hRule="atLeast"/>
              </w:trPr>
              <w:tc>
                <w:tcPr>
                  <w:tcW w:type="dxa" w:w="6865"/>
                  <w:tcBorders>
                    <w:top w:val="none" w:color="auto" w:sz="0"/>
                    <w:left w:val="none" w:color="auto" w:sz="0"/>
                    <w:bottom w:val="single" w:color="DEDDD7" w:sz="4"/>
                    <w:right w:val="none" w:color="auto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  <w:tr>
              <w:trPr>
                <w:cantSplit/>
                <w:trHeight w:val="330" w:hRule="atLeast"/>
              </w:trPr>
              <w:tc>
                <w:tcPr>
                  <w:tcW w:type="dxa" w:w="6865"/>
                  <w:tcBorders>
                    <w:top w:val="none" w:color="auto" w:sz="0"/>
                    <w:left w:val="none" w:color="auto" w:sz="0"/>
                    <w:bottom w:val="single" w:color="DEDDD7" w:sz="4"/>
                    <w:right w:val="none" w:color="auto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</w:tbl>
          <w:p>
            <w:pPr>
              <w:spacing w:after="80" w:before="0"/>
            </w:pPr>
          </w:p>
        </w:tc>
      </w:tr>
    </w:tbl>
    <w:tbl>
      <w:tblPr>
        <w:tblW w:type="dxa" w:w="1457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05"/>
        <w:gridCol w:w="360"/>
        <w:gridCol w:w="7105"/>
      </w:tblGrid>
      <w:tr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</w:trPr>
              <w:tc>
                <w:tcPr>
                  <w:tcW w:type="dxa" w:w="686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Steg 3 · Fördjupningsfråga</w:t>
                  </w:r>
                  <w:r>
                    <w:rPr>
                      <w:color w:val="5A635E"/>
                      <w:sz w:val="19"/>
                      <w:szCs w:val="19"/>
                    </w:rPr>
                    <w:t xml:space="preserve">  Dra en tråd ur en spalt, och fråga alltid: ”hur vet du det?”</w:t>
                  </w:r>
                </w:p>
                <w:tbl>
                  <w:tblPr>
                    <w:tblW w:type="dxa" w:w="68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865"/>
                  </w:tblGrid>
                  <w:tr>
                    <w:trPr>
                      <w:cantSplit/>
                      <w:trHeight w:val="320" w:hRule="atLeast"/>
                    </w:trPr>
                    <w:tc>
                      <w:tcPr>
                        <w:tcW w:type="dxa" w:w="6865"/>
                        <w:tcBorders>
                          <w:top w:val="none" w:color="auto" w:sz="0"/>
                          <w:left w:val="none" w:color="auto" w:sz="0"/>
                          <w:bottom w:val="single" w:color="DEDDD7" w:sz="4"/>
                          <w:right w:val="none" w:color="auto" w:sz="0"/>
                        </w:tcBorders>
                        <w:tcMar>
                          <w:top w:type="dxa" w:w="80"/>
                          <w:left w:type="dxa" w:w="120"/>
                          <w:bottom w:type="dxa" w:w="80"/>
                          <w:right w:type="dxa" w:w="12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</w:p>
                    </w:tc>
                  </w:tr>
                  <w:tr>
                    <w:trPr>
                      <w:cantSplit/>
                      <w:trHeight w:val="320" w:hRule="atLeast"/>
                    </w:trPr>
                    <w:tc>
                      <w:tcPr>
                        <w:tcW w:type="dxa" w:w="6865"/>
                        <w:tcBorders>
                          <w:top w:val="none" w:color="auto" w:sz="0"/>
                          <w:left w:val="none" w:color="auto" w:sz="0"/>
                          <w:bottom w:val="single" w:color="DEDDD7" w:sz="4"/>
                          <w:right w:val="none" w:color="auto" w:sz="0"/>
                        </w:tcBorders>
                        <w:tcMar>
                          <w:top w:type="dxa" w:w="80"/>
                          <w:left w:type="dxa" w:w="120"/>
                          <w:bottom w:type="dxa" w:w="80"/>
                          <w:right w:type="dxa" w:w="12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</w:p>
                    </w:tc>
                  </w:tr>
                  <w:tr>
                    <w:trPr>
                      <w:cantSplit/>
                      <w:trHeight w:val="320" w:hRule="atLeast"/>
                    </w:trPr>
                    <w:tc>
                      <w:tcPr>
                        <w:tcW w:type="dxa" w:w="6865"/>
                        <w:tcBorders>
                          <w:top w:val="none" w:color="auto" w:sz="0"/>
                          <w:left w:val="none" w:color="auto" w:sz="0"/>
                          <w:bottom w:val="single" w:color="DEDDD7" w:sz="4"/>
                          <w:right w:val="none" w:color="auto" w:sz="0"/>
                        </w:tcBorders>
                        <w:tcMar>
                          <w:top w:type="dxa" w:w="80"/>
                          <w:left w:type="dxa" w:w="120"/>
                          <w:bottom w:type="dxa" w:w="80"/>
                          <w:right w:type="dxa" w:w="12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</w:p>
                    </w:tc>
                  </w:tr>
                </w:tbl>
                <w:p>
                  <w:pPr>
                    <w:spacing w:after="80" w:before="0"/>
                  </w:pPr>
                </w:p>
              </w:tc>
            </w:tr>
          </w:tbl>
          <w:p>
            <w:pPr>
              <w:spacing w:after="120" w:before="0"/>
            </w:pP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ectPr>
          <w:headerReference w:type="default" r:id="rId11"/>
          <w:footerReference w:type="default" r:id="rId12"/>
          <w:pgSz w:w="16838" w:h="11906" w:orient="landscape"/>
          <w:pgMar w:top="1134" w:right="1134" w:bottom="1134" w:left="1134" w:header="567" w:footer="567" w:gutter="0"/>
          <w:pgNumType/>
          <w:docGrid w:linePitch="360"/>
        </w:sectPr>
      </w:pP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70"/>
      </w:tblGrid>
      <w:tr>
        <w:trPr>
          <w:cantSplit/>
        </w:trPr>
        <w:tc>
          <w:tcPr>
            <w:tcW w:type="dxa" w:w="14570"/>
            <w:tcBorders>
              <w:top w:val="single" w:color="2F5D50" w:sz="4"/>
              <w:left w:val="single" w:color="2F5D50" w:sz="4"/>
              <w:bottom w:val="single" w:color="2F5D50" w:sz="4"/>
              <w:right w:val="single" w:color="2F5D50" w:sz="4"/>
            </w:tcBorders>
            <w:shd w:fill="2F5D5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433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pacing w:val="20"/>
                <w:sz w:val="15"/>
                <w:szCs w:val="15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Vad du behöver för ett boksamtal</w:t>
            </w:r>
            <w: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pacing w:val="20"/>
                <w:sz w:val="15"/>
                <w:szCs w:val="15"/>
              </w:rPr>
              <w:t xml:space="preserve">Material · 4/4</w:t>
            </w:r>
          </w:p>
        </w:tc>
      </w:tr>
    </w:tbl>
    <w:p>
      <w:pPr>
        <w:spacing w:after="120" w:before="0"/>
      </w:pP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56"/>
        <w:gridCol w:w="4856"/>
        <w:gridCol w:w="4858"/>
      </w:tblGrid>
      <w:tr>
        <w:trPr>
          <w:cantSplit/>
        </w:trPr>
        <w:tc>
          <w:tcPr>
            <w:tcW w:type="dxa" w:w="4856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5A635E"/>
                <w:spacing w:val="20"/>
                <w:sz w:val="15"/>
                <w:szCs w:val="15"/>
              </w:rPr>
              <w:t xml:space="preserve">Textkrav 1</w:t>
            </w:r>
          </w:p>
          <w:p>
            <w:pPr>
              <w:spacing w:after="20" w:before="0"/>
            </w:pPr>
            <w:r>
              <w:rPr>
                <w:b/>
                <w:bCs/>
                <w:sz w:val="22"/>
                <w:szCs w:val="22"/>
              </w:rPr>
              <w:t xml:space="preserve">Något att prata om</w:t>
            </w:r>
          </w:p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En lucka, ett val eller en känsla att tolka</w:t>
            </w:r>
          </w:p>
        </w:tc>
        <w:tc>
          <w:tcPr>
            <w:tcW w:type="dxa" w:w="4856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5A635E"/>
                <w:spacing w:val="20"/>
                <w:sz w:val="15"/>
                <w:szCs w:val="15"/>
              </w:rPr>
              <w:t xml:space="preserve">Textkrav 2</w:t>
            </w:r>
          </w:p>
          <w:p>
            <w:pPr>
              <w:spacing w:after="20" w:before="0"/>
            </w:pPr>
            <w:r>
              <w:rPr>
                <w:b/>
                <w:bCs/>
                <w:sz w:val="22"/>
                <w:szCs w:val="22"/>
              </w:rPr>
              <w:t xml:space="preserve">Lagom längd</w:t>
            </w:r>
          </w:p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Går att läsa och hinna samtala om på 30 minuter</w:t>
            </w:r>
          </w:p>
        </w:tc>
        <w:tc>
          <w:tcPr>
            <w:tcW w:type="dxa" w:w="485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5A635E"/>
                <w:spacing w:val="20"/>
                <w:sz w:val="15"/>
                <w:szCs w:val="15"/>
              </w:rPr>
              <w:t xml:space="preserve">Textkrav 3</w:t>
            </w:r>
          </w:p>
          <w:p>
            <w:pPr>
              <w:spacing w:after="20" w:before="0"/>
            </w:pPr>
            <w:r>
              <w:rPr>
                <w:b/>
                <w:bCs/>
                <w:sz w:val="22"/>
                <w:szCs w:val="22"/>
              </w:rPr>
              <w:t xml:space="preserve">Möjlig att läsa med stöd</w:t>
            </w:r>
          </w:p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Möjlig att förstå med stöd, men med något att fundera på</w:t>
            </w:r>
          </w:p>
        </w:tc>
      </w:tr>
    </w:tbl>
    <w:p>
      <w:pPr>
        <w:spacing w:after="120" w:before="0"/>
      </w:pPr>
    </w:p>
    <w:tbl>
      <w:tblPr>
        <w:tblW w:type="dxa" w:w="1457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05"/>
        <w:gridCol w:w="360"/>
        <w:gridCol w:w="7105"/>
      </w:tblGrid>
      <w:tr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2F5D50"/>
                <w:spacing w:val="20"/>
                <w:sz w:val="15"/>
                <w:szCs w:val="15"/>
              </w:rPr>
              <w:t xml:space="preserve">Var texterna finns</w:t>
            </w:r>
          </w:p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Noveller och korta kapitel.</w:t>
            </w:r>
            <w:r>
              <w:rPr>
                <w:sz w:val="20"/>
                <w:szCs w:val="20"/>
              </w:rPr>
              <w:t xml:space="preserve"> Ett laddat avsnitt ur gruppens gemensamma bänkbok fungerar lika bra.</w:t>
            </w:r>
          </w:p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Bilderböcker med dubbla budskap.</w:t>
            </w:r>
            <w:r>
              <w:rPr>
                <w:sz w:val="20"/>
                <w:szCs w:val="20"/>
              </w:rPr>
              <w:t xml:space="preserve"> Bär även för äldre elever.</w:t>
            </w:r>
          </w:p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Lättlästa serier.</w:t>
            </w:r>
            <w:r>
              <w:rPr>
                <w:sz w:val="20"/>
                <w:szCs w:val="20"/>
              </w:rPr>
              <w:t xml:space="preserve"> Låg tröskel, fullt tolkningsutrymme.</w:t>
            </w:r>
          </w:p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Material i flera nivåer, t.ex. Mellan raderna.</w:t>
            </w:r>
            <w:r>
              <w:rPr>
                <w:sz w:val="20"/>
                <w:szCs w:val="20"/>
              </w:rPr>
              <w:t xml:space="preserve"> Samma berättelse i olika svårighetsgrad gör det lätt att möta gruppen rätt.</w:t>
            </w:r>
          </w:p>
          <w:p>
            <w:pPr>
              <w:spacing w:after="80" w:before="0"/>
            </w:pP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pacing w:val="20"/>
                      <w:sz w:val="16"/>
                      <w:szCs w:val="16"/>
                    </w:rPr>
                    <w:t xml:space="preserve">På bordet när passet börjar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8"/>
                    <w:left w:val="single" w:color="18221D" w:sz="8"/>
                    <w:bottom w:val="single" w:color="18221D" w:sz="8"/>
                    <w:right w:val="single" w:color="18221D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40" w:before="0"/>
                  </w:pPr>
                  <w:r>
                    <w:rPr>
                      <w:sz w:val="20"/>
                      <w:szCs w:val="20"/>
                    </w:rPr>
                    <w:t xml:space="preserve">Egen kopia av texten till varje elev</w:t>
                  </w:r>
                </w:p>
                <w:p>
                  <w:pPr>
                    <w:spacing w:after="40" w:before="0"/>
                  </w:pPr>
                  <w:r>
                    <w:rPr>
                      <w:sz w:val="20"/>
                      <w:szCs w:val="20"/>
                    </w:rPr>
                    <w:t xml:space="preserve">Penna att markera och sätta frågetecken med</w:t>
                  </w:r>
                </w:p>
                <w:p>
                  <w:pPr>
                    <w:spacing w:after="40" w:before="0"/>
                  </w:pPr>
                  <w:r>
                    <w:rPr>
                      <w:sz w:val="20"/>
                      <w:szCs w:val="20"/>
                    </w:rPr>
                    <w:t xml:space="preserve">Tavla eller blädderblock med fyra spalter</w:t>
                  </w:r>
                </w:p>
                <w:p>
                  <w:pPr>
                    <w:spacing w:after="40" w:before="0"/>
                  </w:pPr>
                  <w:r>
                    <w:rPr>
                      <w:sz w:val="20"/>
                      <w:szCs w:val="20"/>
                    </w:rPr>
                    <w:t xml:space="preserve">Dina två till tre specialfrågor nedskrivna</w:t>
                  </w:r>
                </w:p>
                <w:p>
                  <w:pPr>
                    <w:spacing w:after="40" w:before="0"/>
                  </w:pPr>
                  <w:r>
                    <w:rPr>
                      <w:sz w:val="20"/>
                      <w:szCs w:val="20"/>
                    </w:rPr>
                    <w:t xml:space="preserve">Snabbmallen för noteringen efteråt</w:t>
                  </w:r>
                </w:p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Bord där alla ser varandra</w:t>
                  </w:r>
                </w:p>
              </w:tc>
            </w:tr>
          </w:tbl>
          <w:p>
            <w:pPr>
              <w:spacing w:after="120" w:before="0"/>
            </w:pP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pacing w:val="20"/>
                      <w:sz w:val="16"/>
                      <w:szCs w:val="16"/>
                    </w:rPr>
                    <w:t xml:space="preserve">Checklista inför passet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8"/>
                    <w:left w:val="single" w:color="18221D" w:sz="8"/>
                    <w:bottom w:val="single" w:color="18221D" w:sz="8"/>
                    <w:right w:val="single" w:color="18221D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2F5D50"/>
                      <w:sz w:val="20"/>
                      <w:szCs w:val="20"/>
                    </w:rPr>
                    <w:t xml:space="preserve">☐ </w:t>
                  </w:r>
                  <w:r>
                    <w:rPr>
                      <w:sz w:val="20"/>
                      <w:szCs w:val="20"/>
                    </w:rPr>
                    <w:t xml:space="preserve">Valt en kort text med något att prata om och läst den själv.</w:t>
                  </w:r>
                </w:p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2F5D50"/>
                      <w:sz w:val="20"/>
                      <w:szCs w:val="20"/>
                    </w:rPr>
                    <w:t xml:space="preserve">☐ </w:t>
                  </w:r>
                  <w:r>
                    <w:rPr>
                      <w:sz w:val="20"/>
                      <w:szCs w:val="20"/>
                    </w:rPr>
                    <w:t xml:space="preserve">Förberett två till tre specialfrågor.</w:t>
                  </w:r>
                </w:p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2F5D50"/>
                      <w:sz w:val="20"/>
                      <w:szCs w:val="20"/>
                    </w:rPr>
                    <w:t xml:space="preserve">☐ </w:t>
                  </w:r>
                  <w:r>
                    <w:rPr>
                      <w:sz w:val="20"/>
                      <w:szCs w:val="20"/>
                    </w:rPr>
                    <w:t xml:space="preserve">Bestämt hur texten ska läsas.</w:t>
                  </w:r>
                </w:p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2F5D50"/>
                      <w:sz w:val="20"/>
                      <w:szCs w:val="20"/>
                    </w:rPr>
                    <w:t xml:space="preserve">☐ </w:t>
                  </w:r>
                  <w:r>
                    <w:rPr>
                      <w:sz w:val="20"/>
                      <w:szCs w:val="20"/>
                    </w:rPr>
                    <w:t xml:space="preserve">Påmint mig själv om de fyra grundfrågorna.</w:t>
                  </w:r>
                </w:p>
                <w:p>
                  <w:pPr>
                    <w:spacing w:after="0"/>
                  </w:pPr>
                  <w:r>
                    <w:rPr>
                      <w:rFonts w:ascii="Segoe UI Symbol" w:cs="Segoe UI Symbol" w:eastAsia="Segoe UI Symbol" w:hAnsi="Segoe UI Symbol"/>
                      <w:color w:val="2F5D50"/>
                      <w:sz w:val="20"/>
                      <w:szCs w:val="20"/>
                    </w:rPr>
                    <w:t xml:space="preserve">☐ </w:t>
                  </w:r>
                  <w:r>
                    <w:rPr>
                      <w:sz w:val="20"/>
                      <w:szCs w:val="20"/>
                    </w:rPr>
                    <w:t xml:space="preserve">Bestämt hur jag ska avsluta passet.</w:t>
                  </w:r>
                </w:p>
              </w:tc>
            </w:tr>
          </w:tbl>
          <w:p>
            <w:pPr>
              <w:spacing w:after="120" w:before="0"/>
            </w:pP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pacing w:val="20"/>
                      <w:sz w:val="16"/>
                      <w:szCs w:val="16"/>
                    </w:rPr>
                    <w:t xml:space="preserve">Uppföljning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8"/>
                    <w:left w:val="single" w:color="18221D" w:sz="8"/>
                    <w:bottom w:val="single" w:color="18221D" w:sz="8"/>
                    <w:right w:val="single" w:color="18221D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Före insatsen: </w:t>
                  </w:r>
                  <w:r>
                    <w:rPr>
                      <w:sz w:val="20"/>
                      <w:szCs w:val="20"/>
                    </w:rPr>
                    <w:t xml:space="preserve">Eleven samtalar kort om en text. Notera om eleven kan dela en tanke, motivera den och lyssna på andra.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Efter sex till åtta veckor: </w:t>
                  </w:r>
                  <w:r>
                    <w:rPr>
                      <w:sz w:val="20"/>
                      <w:szCs w:val="20"/>
                    </w:rPr>
                    <w:t xml:space="preserve">Samtala om en liknande text och jämför med startläget.</w:t>
                  </w:r>
                </w:p>
                <w:p>
                  <w:pPr>
                    <w:spacing w:after="0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Varje pass: </w:t>
                  </w:r>
                  <w:r>
                    <w:rPr>
                      <w:sz w:val="20"/>
                      <w:szCs w:val="20"/>
                    </w:rPr>
                    <w:t xml:space="preserve">En rad i loggen: deltog alla, vad ska övas nästa gång?</w:t>
                  </w:r>
                </w:p>
              </w:tc>
            </w:tr>
          </w:tbl>
          <w:p>
            <w:pPr>
              <w:spacing w:after="120" w:before="0"/>
            </w:pPr>
          </w:p>
        </w:tc>
      </w:tr>
    </w:tbl>
    <w:sectPr>
      <w:headerReference w:type="default" r:id="rId13"/>
      <w:footerReference w:type="default" r:id="rId14"/>
      <w:pgSz w:w="16838" w:h="11906" w:orient="landscape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DDD7" w:sz="4" w:space="4"/>
      </w:pBdr>
      <w:tabs>
        <w:tab w:val="right" w:pos="14570"/>
      </w:tabs>
      <w:spacing w:after="0"/>
    </w:pPr>
    <w:r>
      <w:rPr>
        <w:color w:val="5A635E"/>
        <w:sz w:val="18"/>
        <w:szCs w:val="18"/>
      </w:rPr>
      <w:t xml:space="preserve">© Niclas Fohlin · niclasfohlin.se/stodundervisning/boksamtal-i-grupp/lathund</w:t>
    </w:r>
    <w:r>
      <w:rPr>
        <w:color w:val="5A635E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DDD7" w:sz="4" w:space="4"/>
      </w:pBdr>
      <w:tabs>
        <w:tab w:val="right" w:pos="14570"/>
      </w:tabs>
      <w:spacing w:after="0"/>
    </w:pPr>
    <w:r>
      <w:rPr>
        <w:color w:val="5A635E"/>
        <w:sz w:val="18"/>
        <w:szCs w:val="18"/>
      </w:rPr>
      <w:t xml:space="preserve">© Niclas Fohlin · niclasfohlin.se/stodundervisning/boksamtal-i-grupp/lathund</w:t>
    </w:r>
    <w:r>
      <w:rPr>
        <w:color w:val="5A635E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DDD7" w:sz="4" w:space="4"/>
      </w:pBdr>
      <w:tabs>
        <w:tab w:val="right" w:pos="14570"/>
      </w:tabs>
      <w:spacing w:after="0"/>
    </w:pPr>
    <w:r>
      <w:rPr>
        <w:color w:val="5A635E"/>
        <w:sz w:val="18"/>
        <w:szCs w:val="18"/>
      </w:rPr>
      <w:t xml:space="preserve">© Niclas Fohlin · niclasfohlin.se/stodundervisning/boksamtal-i-grupp/lathund</w:t>
    </w:r>
    <w:r>
      <w:rPr>
        <w:color w:val="5A635E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DDD7" w:sz="4" w:space="4"/>
      </w:pBdr>
      <w:tabs>
        <w:tab w:val="right" w:pos="14570"/>
      </w:tabs>
      <w:spacing w:after="0"/>
    </w:pPr>
    <w:r>
      <w:rPr>
        <w:color w:val="5A635E"/>
        <w:sz w:val="18"/>
        <w:szCs w:val="18"/>
      </w:rPr>
      <w:t xml:space="preserve">© Niclas Fohlin · niclasfohlin.se/stodundervisning/boksamtal-i-grupp/lathund</w:t>
    </w:r>
    <w:r>
      <w:rPr>
        <w:color w:val="5A635E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EDDD7" w:sz="4" w:space="4"/>
      </w:pBdr>
      <w:spacing w:after="0"/>
      <w:jc w:val="right"/>
    </w:pPr>
    <w:r>
      <w:rPr>
        <w:color w:val="5A635E"/>
        <w:sz w:val="18"/>
        <w:szCs w:val="18"/>
      </w:rPr>
      <w:t xml:space="preserve">Lathund · Chambers boksamtal i grupp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EDDD7" w:sz="4" w:space="4"/>
      </w:pBdr>
      <w:spacing w:after="0"/>
      <w:jc w:val="right"/>
    </w:pPr>
    <w:r>
      <w:rPr>
        <w:color w:val="5A635E"/>
        <w:sz w:val="18"/>
        <w:szCs w:val="18"/>
      </w:rPr>
      <w:t xml:space="preserve">Lathund · Chambers boksamtal i grupp · niclasfohlin.se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EDDD7" w:sz="4" w:space="4"/>
      </w:pBdr>
      <w:spacing w:after="0"/>
      <w:jc w:val="right"/>
    </w:pPr>
    <w:r>
      <w:rPr>
        <w:color w:val="5A635E"/>
        <w:sz w:val="18"/>
        <w:szCs w:val="18"/>
      </w:rPr>
      <w:t xml:space="preserve">Lathund · Chambers boksamtal i grupp · niclasfohlin.se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EDDD7" w:sz="4" w:space="4"/>
      </w:pBdr>
      <w:spacing w:after="0"/>
      <w:jc w:val="right"/>
    </w:pPr>
    <w:r>
      <w:rPr>
        <w:color w:val="5A635E"/>
        <w:sz w:val="18"/>
        <w:szCs w:val="18"/>
      </w:rPr>
      <w:t xml:space="preserve">Lathund · Chambers boksamtal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2F5D50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8221D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2F5D50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2F5D50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2F5D50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Lathund: Chambers boksamtal i grupp</dc:title>
  <dc:creator>Niclas Fohlin</dc:creator>
  <dc:description>© Niclas Fohlin · niclasfohlin.se</dc:description>
  <cp:lastModifiedBy>Un-named</cp:lastModifiedBy>
  <cp:revision>1</cp:revision>
  <dcterms:created xsi:type="dcterms:W3CDTF">2026-09-20T21:14:27.526Z</dcterms:created>
  <dcterms:modified xsi:type="dcterms:W3CDTF">2026-09-20T21:14:27.526Z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