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bookmarkStart w:name="sida_0" w:id="1"/>
      <w:bookmarkEnd w:id="1"/>
      <w:r>
        <w:t xml:space="preserve">Modellen: Tankekartan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Till modellen hör exemplet om skolan och tre blad att skriva ut eller skriva i på dator. Skriv ut veckans blad på A3: lärarens sida säger vilket. Exemplet är en egen bild.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Modellen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till gruppen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”En tankekarta visar en sak och vilka delar den har. Saken står i mitten, och varje del har ett eget fält.”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Modellens fråga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beskriver texten, och vilka delar har det?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passar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när varje avsnitt handlar om en egen del av saken. Pröva om texten går att säga som </w:t>
            </w:r>
            <w:r>
              <w:rPr>
                <w:i/>
                <w:iCs/>
                <w:sz w:val="20"/>
                <w:szCs w:val="20"/>
              </w:rPr>
              <w:t xml:space="preserve">”saken har de här delarna”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Om texten berättar i tur och ordning passar tidslinjen, och om den jämför två saker passar venndiagrammet.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läggs 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Första gången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exemplet om skolan och läs exemplets text högt, en mening i taget. Efter varje mening frågar du var den står i exemplet. Återge sedan texten ur exemplet, medan du pekar.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Exemplets text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Vår skola har fyra delar.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största är klassrummen, där vi har lektioner.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annan del är matsalen, där alla äter lunch.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finns också en idrottshall, med ett gym.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Utanför ligger skolgården, där vi har rast.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Många elever cyklar till skolan.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Mitten och fälten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skriver saken i mitten, och varje fält får delens namn.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En lapp till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post-it-lapp utöver delarna får platsen En lapp till, med ett namn som säger vart den hör. Fördjupningens lapp hör oftast till en del, och platsen heter då </w:t>
            </w:r>
            <w:r>
              <w:rPr>
                <w:i/>
                <w:iCs/>
                <w:sz w:val="20"/>
                <w:szCs w:val="20"/>
              </w:rPr>
              <w:t xml:space="preserve">”Hör till”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delens namn. I exemplet heter den </w:t>
            </w:r>
            <w:r>
              <w:rPr>
                <w:i/>
                <w:iCs/>
                <w:sz w:val="20"/>
                <w:szCs w:val="20"/>
              </w:rPr>
              <w:t xml:space="preserve">”Hör inte till delarna”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Strecken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fliken på strecket står textens ord för hur delen hör till saken, som </w:t>
            </w:r>
            <w:r>
              <w:rPr>
                <w:i/>
                <w:iCs/>
                <w:sz w:val="20"/>
                <w:szCs w:val="20"/>
              </w:rPr>
              <w:t xml:space="preserve">”den största”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 xml:space="preserve">”en annan del”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”också”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Återge texten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 med saken och delarna, som </w:t>
            </w:r>
            <w:r>
              <w:rPr>
                <w:i/>
                <w:iCs/>
                <w:sz w:val="20"/>
                <w:szCs w:val="20"/>
              </w:rPr>
              <w:t xml:space="preserve">”Vår skola har fyra delar”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ta sedan en mening för varje fält, med flikens ord.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Se upp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Fältet har inget namn: </w:t>
            </w:r>
            <w:r>
              <w:rPr>
                <w:i/>
                <w:iCs/>
                <w:sz w:val="20"/>
                <w:szCs w:val="20"/>
              </w:rPr>
              <w:t xml:space="preserve">”Vad heter delen?”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Ett tomt fält är inget fel.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Bladen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Blad 1 har fyra delar, blad 2 har delar med egna delar eller exempel, och blad 3 har sex delar.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72" name="Bild 8172" descr="På bordet: Blad: Tankekartan, exemplet om skolan. En grupps tankekarta för texten om skolan. Lappen om cyklarna hör inte till någon d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101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101"/>
      </w:tblGrid>
      <w:tr>
        <w:trPr>
          <w:cantSplit/>
          <w:trHeight w:val="11040" w:hRule="exact"/>
        </w:trPr>
        <w:tc>
          <w:tcPr>
            <w:tcW w:type="dxa" w:w="1610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b56e96c-8e2f-4496-6d36-d1a3e51ffdb0}"/>
  </w:font>
  <w:font w:name="Anton">
    <w:family w:val="auto"/>
    <w:pitch w:val="variable"/>
    <w:sig w:usb0="E0002AFF" w:usb1="C000247B" w:usb2="00000009" w:usb3="00000000" w:csb0="000001FF" w:csb1="00000000"/>
    <w:embedRegular r:id="rId2" w:fontKey="{6ba02add-221f-6447-5a5a-fb5bd27ac6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Tankekartan · Faktatextsamtal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a6aef4ac94096ec8e69154cb1b67f043f536646f.svg"/><Relationship Id="rId12" Type="http://schemas.openxmlformats.org/officeDocument/2006/relationships/image" Target="media/fa947eef97b486b557a057f772855b4aa58bdd4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Faktatextsamtal i grupp: Tankekartan: sidan och exemplet</dc:title>
  <dc:creator>Niclas Fohlin</dc:creator>
  <dc:description>© Niclas Fohlin · niclasfohlin.se</dc:description>
  <cp:lastModifiedBy>Un-named</cp:lastModifiedBy>
  <cp:revision>1</cp:revision>
  <dcterms:created xsi:type="dcterms:W3CDTF">2026-11-04T19:30:15.221Z</dcterms:created>
  <dcterms:modified xsi:type="dcterms:W3CDTF">2026-11-04T19:30:15.221Z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[{"ram":49,"s":1},{"ram":49,"bild":70,"s":1}]</vt:lpwstr>
  </property>
</Properties>
</file>