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Kartläggning: före och efter kursen</w:t>
      </w:r>
    </w:p>
    <w:p>
      <w:pPr>
        <w:spacing w:after="160" w:before="0"/>
      </w:pPr>
      <w:r>
        <w:rPr>
          <w:i/>
          <w:iCs/>
          <w:color w:val="1D4F91"/>
          <w:sz w:val="24"/>
          <w:szCs w:val="24"/>
        </w:rPr>
        <w:t xml:space="preserve">De fyra räknesätten i grupp · åk 3–⁠7</w:t>
      </w:r>
    </w:p>
    <w:p>
      <w:pPr>
        <w:keepNext/>
        <w:keepLines/>
        <w:spacing w:after="120" w:before="0"/>
      </w:pPr>
      <w:r>
        <w:t xml:space="preserve">Gör kartläggningen veckan före och veckan efter kursen, med en elev i taget eller två och två. Eleven räknar bladet för sin nivå och visar och förklarar sedan sex uppgifter i listan Visa och förklara. Räkna med omkring 30 minuter per elev, hälften för bladet och hälften för Visa och förklara.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kursen tar du kartläggningens blad för den nivå du tror passar, och eleven räknar det på egen hand, i rutnätet och utan material. Räknar eleven färre än fyra rätt, tar hen också bladet för nivån under, och med sju eller åtta rätt bladet för nivån över. Räknar eleven färre än fyra rätt på Bas, eller ett och ett också inom tjugo, börjar hen i Antalsuppfattning i grupp. Sedan visar och förklarar eleven de sex uppgifterna i listan Visa och förklara och skriver uppgiften på sin tavla, och du skriver vad eleven gör och säger i protokollet. Gruppens nivå är den där eleverna räknar en del rätt men inte kan förklara växlingen. Hamnar eleverna på två nivåer, tar gruppen den lägre. Den elev som hamnade på den högre nivån räknar bladen för sin nivå i Bladet. Kan eleven växla men inte förklara gånger och delat, väljer du nivån efter de fyra sista uppgifterna på kartläggningens blad, multiplikationen och divisionen. Efter kursen räknar eleven samma blad och visar samma uppgifter som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Säger eleven ental och tiotal?</w:t>
            </w:r>
          </w:p>
          <w:p>
            <w:pPr>
              <w:keepNext/>
              <w:spacing w:after="20" w:before="0"/>
            </w:pPr>
            <w:r>
              <w:rPr>
                <w:i w:val="false"/>
                <w:iCs w:val="false"/>
                <w:sz w:val="20"/>
                <w:szCs w:val="20"/>
              </w:rPr>
              <w:t xml:space="preserve">Ser eleven att talen ligger två från 300, så att 302 − 298 = 2 + 2, eller räknar hen ett och ett?</w:t>
            </w:r>
          </w:p>
          <w:p>
            <w:pPr>
              <w:keepNext/>
              <w:spacing w:after="20" w:before="0"/>
            </w:pPr>
            <w:r>
              <w:rPr>
                <w:i w:val="false"/>
                <w:iCs w:val="false"/>
                <w:sz w:val="20"/>
                <w:szCs w:val="20"/>
              </w:rPr>
              <w:t xml:space="preserve">Vet eleven vad den lilla ettan är, och hur många tiotal som är kvar efter växlingen?</w:t>
            </w:r>
          </w:p>
          <w:p>
            <w:pPr>
              <w:keepNext/>
              <w:spacing w:after="20" w:before="0"/>
            </w:pPr>
            <w:r>
              <w:rPr>
                <w:i w:val="false"/>
                <w:iCs w:val="false"/>
                <w:sz w:val="20"/>
                <w:szCs w:val="20"/>
              </w:rPr>
              <w:t xml:space="preserve">Märker eleven ett orimligt svar?</w:t>
            </w:r>
          </w:p>
          <w:p>
            <w:pPr>
              <w:keepNext/>
              <w:spacing w:after="0" w:before="0"/>
            </w:pPr>
            <w:r>
              <w:rPr>
                <w:i w:val="false"/>
                <w:iCs w:val="false"/>
                <w:sz w:val="20"/>
                <w:szCs w:val="20"/>
              </w:rPr>
              <w:t xml:space="preserve">Känner eleven igen multiplikation och division i en händelse, och ser hen två divisioner i samma rektangel?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Uppgifterna och målen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Bladets uppgift 1–⁠4 och Addition, Subtraktion och Välj sätt prövar addition och subtraktion med material, talrad och uppställning. Bladets uppgift 5–⁠8 och Multiplikation och Division prövar rektangeln och de korta skrivsätten. Den lilla ettan, tiotalen efter växlingen och kakorna som blir över prövar att förklara minnessiffran, den strukna siffran och resten, och Rimlighet prövar överslaget och kontrollen åt andra hållet.</w:t>
            </w:r>
          </w:p>
        </w:tc>
      </w:tr>
    </w:tbl>
    <w:p>
      <w:pPr>
        <w:spacing w:after="160" w:before="0"/>
      </w:pPr>
    </w:p>
    <w:p>
      <w:pPr>
        <w:keepNext/>
        <w:pageBreakBefore/>
        <w:spacing w:after="80" w:before="0"/>
      </w:pPr>
      <w:r>
        <w:rPr>
          <w:rFonts w:ascii="Calibri" w:cs="Calibri" w:eastAsia="Calibri" w:hAnsi="Calibri"/>
          <w:b/>
          <w:bCs/>
          <w:color w:val="FFFFFF"/>
          <w:sz w:val="28"/>
          <w:szCs w:val="28"/>
          <w:shd w:fill="3E8E41" w:color="auto" w:val="clear"/>
        </w:rPr>
        <w:t xml:space="preserve"> Bas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58 + 26</w:t>
            </w:r>
          </w:p>
          <w:p>
            <w:pPr>
              <w:spacing w:after="0" w:before="0"/>
            </w:pPr>
            <w:r>
              <w:drawing>
                <wp:inline distT="0" distB="0" distL="0" distR="0">
                  <wp:extent cx="2286000" cy="1143000"/>
                  <wp:effectExtent t="0" r="0" b="0" l="0"/>
                  <wp:docPr id="91180" name="Rutnät 118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167 + 58</w:t>
            </w:r>
          </w:p>
          <w:p>
            <w:pPr>
              <w:spacing w:after="0" w:before="0"/>
            </w:pPr>
            <w:r>
              <w:drawing>
                <wp:inline distT="0" distB="0" distL="0" distR="0">
                  <wp:extent cx="2286000" cy="1143000"/>
                  <wp:effectExtent t="0" r="0" b="0" l="0"/>
                  <wp:docPr id="91181" name="Rutnät 118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73 − 28</w:t>
            </w:r>
          </w:p>
          <w:p>
            <w:pPr>
              <w:spacing w:after="0" w:before="0"/>
            </w:pPr>
            <w:r>
              <w:drawing>
                <wp:inline distT="0" distB="0" distL="0" distR="0">
                  <wp:extent cx="2286000" cy="1143000"/>
                  <wp:effectExtent t="0" r="0" b="0" l="0"/>
                  <wp:docPr id="91182" name="Rutnät 118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300 − 64</w:t>
            </w:r>
          </w:p>
          <w:p>
            <w:pPr>
              <w:spacing w:after="0" w:before="0"/>
            </w:pPr>
            <w:r>
              <w:drawing>
                <wp:inline distT="0" distB="0" distL="0" distR="0">
                  <wp:extent cx="2286000" cy="1143000"/>
                  <wp:effectExtent t="0" r="0" b="0" l="0"/>
                  <wp:docPr id="91183" name="Rutnät 118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7</w:t>
            </w:r>
          </w:p>
          <w:p>
            <w:pPr>
              <w:spacing w:after="0" w:before="0"/>
            </w:pPr>
            <w:r>
              <w:drawing>
                <wp:inline distT="0" distB="0" distL="0" distR="0">
                  <wp:extent cx="2286000" cy="1143000"/>
                  <wp:effectExtent t="0" r="0" b="0" l="0"/>
                  <wp:docPr id="91184" name="Rutnät 118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15</w:t>
            </w:r>
          </w:p>
          <w:p>
            <w:pPr>
              <w:spacing w:after="0" w:before="0"/>
            </w:pPr>
            <w:r>
              <w:drawing>
                <wp:inline distT="0" distB="0" distL="0" distR="0">
                  <wp:extent cx="2286000" cy="1143000"/>
                  <wp:effectExtent t="0" r="0" b="0" l="0"/>
                  <wp:docPr id="91185" name="Rutnät 118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18</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86" name="Rutnät 118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17</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87" name="Rutnät 118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80" w:before="0"/>
      </w:pPr>
      <w:r>
        <w:rPr>
          <w:rFonts w:ascii="Calibri" w:cs="Calibri" w:eastAsia="Calibri" w:hAnsi="Calibri"/>
          <w:b/>
          <w:bCs/>
          <w:color w:val="14202B"/>
          <w:sz w:val="28"/>
          <w:szCs w:val="28"/>
          <w:shd w:fill="F2C94C" w:color="auto" w:val="clear"/>
        </w:rPr>
        <w:t xml:space="preserve"> Medel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167 + 58</w:t>
            </w:r>
          </w:p>
          <w:p>
            <w:pPr>
              <w:spacing w:after="0" w:before="0"/>
            </w:pPr>
            <w:r>
              <w:drawing>
                <wp:inline distT="0" distB="0" distL="0" distR="0">
                  <wp:extent cx="2286000" cy="1143000"/>
                  <wp:effectExtent t="0" r="0" b="0" l="0"/>
                  <wp:docPr id="91188" name="Rutnät 118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478 + 365</w:t>
            </w:r>
          </w:p>
          <w:p>
            <w:pPr>
              <w:spacing w:after="0" w:before="0"/>
            </w:pPr>
            <w:r>
              <w:drawing>
                <wp:inline distT="0" distB="0" distL="0" distR="0">
                  <wp:extent cx="2286000" cy="1143000"/>
                  <wp:effectExtent t="0" r="0" b="0" l="0"/>
                  <wp:docPr id="91189" name="Rutnät 118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300 − 64</w:t>
            </w:r>
          </w:p>
          <w:p>
            <w:pPr>
              <w:spacing w:after="0" w:before="0"/>
            </w:pPr>
            <w:r>
              <w:drawing>
                <wp:inline distT="0" distB="0" distL="0" distR="0">
                  <wp:extent cx="2286000" cy="1143000"/>
                  <wp:effectExtent t="0" r="0" b="0" l="0"/>
                  <wp:docPr id="91190" name="Rutnät 119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524 − 287</w:t>
            </w:r>
          </w:p>
          <w:p>
            <w:pPr>
              <w:spacing w:after="0" w:before="0"/>
            </w:pPr>
            <w:r>
              <w:drawing>
                <wp:inline distT="0" distB="0" distL="0" distR="0">
                  <wp:extent cx="2286000" cy="1143000"/>
                  <wp:effectExtent t="0" r="0" b="0" l="0"/>
                  <wp:docPr id="91191" name="Rutnät 119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29</w:t>
            </w:r>
          </w:p>
          <w:p>
            <w:pPr>
              <w:spacing w:after="0" w:before="0"/>
            </w:pPr>
            <w:r>
              <w:drawing>
                <wp:inline distT="0" distB="0" distL="0" distR="0">
                  <wp:extent cx="2286000" cy="1143000"/>
                  <wp:effectExtent t="0" r="0" b="0" l="0"/>
                  <wp:docPr id="91192" name="Rutnät 119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38</w:t>
            </w:r>
          </w:p>
          <w:p>
            <w:pPr>
              <w:spacing w:after="0" w:before="0"/>
            </w:pPr>
            <w:r>
              <w:drawing>
                <wp:inline distT="0" distB="0" distL="0" distR="0">
                  <wp:extent cx="2286000" cy="1143000"/>
                  <wp:effectExtent t="0" r="0" b="0" l="0"/>
                  <wp:docPr id="91193" name="Rutnät 119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84</w:t>
            </w:r>
          </w:p>
          <w:p>
            <w:pPr>
              <w:keepNext/>
              <w:spacing w:after="0" w:before="54" w:line="160"/>
              <w:ind w:left="1961" w:right="1961"/>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94" name="Rutnät 119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93</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195" name="Rutnät 119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80" w:before="0"/>
      </w:pPr>
      <w:r>
        <w:rPr>
          <w:rFonts w:ascii="Calibri" w:cs="Calibri" w:eastAsia="Calibri" w:hAnsi="Calibri"/>
          <w:b/>
          <w:bCs/>
          <w:color w:val="FFFFFF"/>
          <w:sz w:val="28"/>
          <w:szCs w:val="28"/>
          <w:shd w:fill="D64541" w:color="auto" w:val="clear"/>
        </w:rPr>
        <w:t xml:space="preserve"> Avancerad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+ 4,75</w:t>
            </w:r>
          </w:p>
          <w:p>
            <w:pPr>
              <w:spacing w:after="0" w:before="0"/>
            </w:pPr>
            <w:r>
              <w:drawing>
                <wp:inline distT="0" distB="0" distL="0" distR="0">
                  <wp:extent cx="2286000" cy="1143000"/>
                  <wp:effectExtent t="0" r="0" b="0" l="0"/>
                  <wp:docPr id="91196" name="Rutnät 119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3 586 + 2 745</w:t>
            </w:r>
          </w:p>
          <w:p>
            <w:pPr>
              <w:spacing w:after="0" w:before="0"/>
            </w:pPr>
            <w:r>
              <w:drawing>
                <wp:inline distT="0" distB="0" distL="0" distR="0">
                  <wp:extent cx="2286000" cy="1143000"/>
                  <wp:effectExtent t="0" r="0" b="0" l="0"/>
                  <wp:docPr id="91197" name="Rutnät 119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524 − 287</w:t>
            </w:r>
          </w:p>
          <w:p>
            <w:pPr>
              <w:spacing w:after="0" w:before="0"/>
            </w:pPr>
            <w:r>
              <w:drawing>
                <wp:inline distT="0" distB="0" distL="0" distR="0">
                  <wp:extent cx="2286000" cy="1143000"/>
                  <wp:effectExtent t="0" r="0" b="0" l="0"/>
                  <wp:docPr id="91198" name="Rutnät 119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4 002 − 1 685</w:t>
            </w:r>
          </w:p>
          <w:p>
            <w:pPr>
              <w:spacing w:after="0" w:before="0"/>
            </w:pPr>
            <w:r>
              <w:drawing>
                <wp:inline distT="0" distB="0" distL="0" distR="0">
                  <wp:extent cx="2286000" cy="1143000"/>
                  <wp:effectExtent t="0" r="0" b="0" l="0"/>
                  <wp:docPr id="91199" name="Rutnät 119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238</w:t>
            </w:r>
          </w:p>
          <w:p>
            <w:pPr>
              <w:spacing w:after="0" w:before="0"/>
            </w:pPr>
            <w:r>
              <w:drawing>
                <wp:inline distT="0" distB="0" distL="0" distR="0">
                  <wp:extent cx="2286000" cy="1143000"/>
                  <wp:effectExtent t="0" r="0" b="0" l="0"/>
                  <wp:docPr id="91200" name="Rutnät 120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14 · 23</w:t>
            </w:r>
          </w:p>
          <w:p>
            <w:pPr>
              <w:spacing w:after="0" w:before="0"/>
            </w:pPr>
            <w:r>
              <w:drawing>
                <wp:inline distT="0" distB="0" distL="0" distR="0">
                  <wp:extent cx="2286000" cy="1143000"/>
                  <wp:effectExtent t="0" r="0" b="0" l="0"/>
                  <wp:docPr id="91201" name="Rutnät 120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645</w:t>
            </w:r>
          </w:p>
          <w:p>
            <w:pPr>
              <w:keepNext/>
              <w:spacing w:after="0" w:before="54" w:line="160"/>
              <w:ind w:left="1856" w:right="1856"/>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202" name="Rutnät 120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832</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1203" name="Rutnät 120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pStyle w:val="Heading4"/>
        <w:keepNext/>
        <w:spacing w:after="60" w:before="120"/>
      </w:pPr>
      <w:r>
        <w:rPr>
          <w:b/>
          <w:bCs/>
          <w:caps/>
          <w:color w:val="1D4F91"/>
          <w:sz w:val="16"/>
          <w:szCs w:val="16"/>
        </w:rPr>
        <w:t xml:space="preserve">Visa och förklara · Uppgifterna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Uppgiften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Addition. Bygg 49 + 35 med tiobas. Vad är den lilla ettan?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Subtraktion. Bygg 72 − 35. Hur många tiotal är kvar när du har växlat?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Multiplikation. Bygg 3 · 6 med multilink. Berätta vad 3 · 6 kan vara. Vilka två divisioner ser du?</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Division. Du har 15 kakor och lägger 4 på varje fat. Hur många fat blir fulla, och hur många kakor blir över? Visa med kuber och skriv divisionen.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Välj sätt. Räkna 302 − 298 som du vill. Varför valde du så?</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Rimlighet. En elev skrev 35 + 28 = 513. Kan det stämma? Hur vet du?</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42cde93-bdb4-e35f-8be3-1ebec6af73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1b975a044d54d82855008f3b7a6013b0b6aaf63.svg"/><Relationship Id="rId10" Type="http://schemas.openxmlformats.org/officeDocument/2006/relationships/image" Target="media/14fef0e58e0f44b592c8bd77694e50e6afc066c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före och efter kursen · De fyra räknesätten i grupp</dc:title>
  <dc:creator>Niclas Fohlin</dc:creator>
  <dc:description>© Niclas Fohlin · niclasfohlin.se</dc:description>
  <cp:lastModifiedBy>Un-named</cp:lastModifiedBy>
  <cp:revision>1</cp:revision>
  <dcterms:created xsi:type="dcterms:W3CDTF">2026-10-29T11:57:38.195Z</dcterms:created>
  <dcterms:modified xsi:type="dcterms:W3CDTF">2026-10-29T11:57:38.195Z</dcterms:modified>
</cp:coreProperties>
</file>

<file path=docProps/custom.xml><?xml version="1.0" encoding="utf-8"?>
<Properties xmlns="http://schemas.openxmlformats.org/officeDocument/2006/custom-properties" xmlns:vt="http://schemas.openxmlformats.org/officeDocument/2006/docPropsVTypes"/>
</file>