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328"/>
        <w:gridCol w:w="3141"/>
      </w:tblGrid>
      <w:tr>
        <w:trPr>
          <w:cantSplit/>
        </w:trPr>
        <w:tc>
          <w:tcPr>
            <w:tcW w:type="dxa" w:w="7328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44"/>
                <w:szCs w:val="44"/>
              </w:rPr>
              <w:t xml:space="preserve">Högläsning i par</w:t>
            </w:r>
          </w:p>
        </w:tc>
        <w:tc>
          <w:tcPr>
            <w:tcW w:type="dxa" w:w="3141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Lektionskort</w:t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3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45"/>
              <w:left w:type="dxa" w:w="110"/>
              <w:bottom w:type="dxa" w:w="45"/>
              <w:right w:type="dxa" w:w="110"/>
            </w:tcMar>
            <w:vAlign w:val="center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Åk 2–5 · 20 min · klass eller grupp</w:t>
            </w:r>
          </w:p>
        </w:tc>
      </w:tr>
    </w:tbl>
    <w:p>
      <w:pPr>
        <w:spacing w:after="8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110" w:before="0" w:line="240"/>
        <w:rPr>
          <w:rFonts w:ascii="Arial" w:cs="Arial" w:eastAsia="Arial" w:hAnsi="Arial"/>
          <w:sz w:val="19"/>
          <w:szCs w:val="19"/>
        </w:rPr>
      </w:pP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Mål:</w:t>
      </w:r>
      <w:r>
        <w:rPr>
          <w:rFonts w:ascii="Arial" w:cs="Arial" w:eastAsia="Arial" w:hAnsi="Arial"/>
          <w:color w:val="1a1a1a"/>
          <w:sz w:val="21"/>
          <w:szCs w:val="21"/>
        </w:rPr>
        <w:t xml:space="preserve"> kunna läsa högt så att lyssnaren förstår det texten säger.</w:t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17"/>
        <w:gridCol w:w="2617"/>
        <w:gridCol w:w="2617"/>
        <w:gridCol w:w="2618"/>
      </w:tblGrid>
      <w:tr>
        <w:trPr>
          <w:cantSplit/>
        </w:trPr>
        <w:tc>
          <w:tcPr>
            <w:tcW w:type="dxa" w:w="2617"/>
            <w:tcBorders>
              <w:top w:val="single" w:color="2e75b6" w:sz="18"/>
              <w:left w:val="single" w:color="d6e4f0" w:sz="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Förstå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Vad händer, och hur känns det?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Bestäm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Hur ska det låta med veckans strategi?</w:t>
            </w:r>
          </w:p>
        </w:tc>
        <w:tc>
          <w:tcPr>
            <w:tcW w:type="dxa" w:w="2617"/>
            <w:tcBorders>
              <w:top w:val="single" w:color="2e75b6" w:sz="18"/>
              <w:left w:val="single" w:color="FFFFFF" w:sz="24"/>
              <w:bottom w:val="single" w:color="d6e4f0" w:sz="4"/>
              <w:right w:val="single" w:color="FFFFFF" w:sz="2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Läs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Läs vidare i boken för din kamrat.</w:t>
            </w:r>
          </w:p>
        </w:tc>
        <w:tc>
          <w:tcPr>
            <w:tcW w:type="dxa" w:w="2618"/>
            <w:tcBorders>
              <w:top w:val="single" w:color="2e75b6" w:sz="18"/>
              <w:left w:val="single" w:color="FFFFFF" w:sz="24"/>
              <w:bottom w:val="single" w:color="d6e4f0" w:sz="4"/>
              <w:right w:val="single" w:color="d6e4f0" w:sz="4"/>
            </w:tcBorders>
            <w:shd w:fill="f8fbfd" w:color="auto" w:val="clear"/>
            <w:tcMar>
              <w:top w:type="dxa" w:w="90"/>
              <w:left w:type="dxa" w:w="130"/>
              <w:bottom w:type="dxa" w:w="90"/>
              <w:right w:type="dxa" w:w="110"/>
            </w:tcMar>
            <w:vAlign w:val="top"/>
          </w:tcPr>
          <w:p>
            <w:pPr>
              <w:spacing w:after="3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3"/>
                <w:szCs w:val="23"/>
              </w:rPr>
              <w:t xml:space="preserve">Svara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”Jag förstod att …” ”Jag hörde att du …”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13"/>
        <w:gridCol w:w="2931"/>
        <w:gridCol w:w="5025"/>
      </w:tblGrid>
      <w:tr>
        <w:trPr>
          <w:cantSplit/>
        </w:trPr>
        <w:tc>
          <w:tcPr>
            <w:tcW w:type="dxa" w:w="10469"/>
            <w:gridSpan w:val="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De fem strategierna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Vecka 1–5 har en strategi var, och de tidigare följer med. Vecka 6–7 har alla fem.</w:t>
            </w:r>
          </w:p>
        </w:tc>
      </w:tr>
      <w:tr>
        <w:trPr>
          <w:cantSplit/>
        </w:trPr>
        <w:tc>
          <w:tcPr>
            <w:tcW w:type="dxa" w:w="2513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Strategin</w:t>
            </w:r>
          </w:p>
        </w:tc>
        <w:tc>
          <w:tcPr>
            <w:tcW w:type="dxa" w:w="2931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Fråga dig</w:t>
            </w:r>
          </w:p>
        </w:tc>
        <w:tc>
          <w:tcPr>
            <w:tcW w:type="dxa" w:w="5025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visar du</w:t>
            </w:r>
          </w:p>
        </w:tc>
      </w:tr>
      <w:tr>
        <w:trPr>
          <w:cantSplit/>
        </w:trPr>
        <w:tc>
          <w:tcPr>
            <w:tcW w:type="dxa" w:w="25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1 · Tankepausen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/ kort paus, // lång paus</w:t>
            </w:r>
          </w:p>
        </w:tc>
        <w:tc>
          <w:tcPr>
            <w:tcW w:type="dxa" w:w="293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Var börjar en ny tanke?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Läs utan paus och med, och fråga vad pausen gjorde.</w:t>
            </w:r>
          </w:p>
        </w:tc>
      </w:tr>
      <w:tr>
        <w:trPr>
          <w:cantSplit/>
        </w:trPr>
        <w:tc>
          <w:tcPr>
            <w:tcW w:type="dxa" w:w="25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2 · Frågan och utropet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ring runt ? och !</w:t>
            </w:r>
          </w:p>
        </w:tc>
        <w:tc>
          <w:tcPr>
            <w:tcW w:type="dxa" w:w="293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Säger hen något, undrar hen eller ropar hen?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Läs ”Mamma kommer.” ”Kommer mamma?” ”Mamma kommer!” Frågan börjar på en lite högre ton.</w:t>
            </w:r>
          </w:p>
        </w:tc>
      </w:tr>
      <w:tr>
        <w:trPr>
          <w:cantSplit/>
        </w:trPr>
        <w:tc>
          <w:tcPr>
            <w:tcW w:type="dxa" w:w="25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3 · Repliken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ruta runt det som sägs</w:t>
            </w:r>
          </w:p>
        </w:tc>
        <w:tc>
          <w:tcPr>
            <w:tcW w:type="dxa" w:w="293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Vem säger det, och hur känns det?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Läs repliken med två känslor, och låt klassen välja den som passar texten.</w:t>
            </w:r>
          </w:p>
        </w:tc>
      </w:tr>
      <w:tr>
        <w:trPr>
          <w:cantSplit/>
        </w:trPr>
        <w:tc>
          <w:tcPr>
            <w:tcW w:type="dxa" w:w="25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4 · Det viktiga ordet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streck under</w:t>
            </w:r>
          </w:p>
        </w:tc>
        <w:tc>
          <w:tcPr>
            <w:tcW w:type="dxa" w:w="293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Vilket ord är viktigast?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Betona olika ord i ”Det var inte min cykel”, och fråga vad meningen betyder då.</w:t>
            </w:r>
          </w:p>
        </w:tc>
      </w:tr>
      <w:tr>
        <w:trPr>
          <w:cantSplit/>
        </w:trPr>
        <w:tc>
          <w:tcPr>
            <w:tcW w:type="dxa" w:w="2513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5 · Lyssnarens takt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~ långsamt vid det viktiga</w:t>
            </w:r>
          </w:p>
        </w:tc>
        <w:tc>
          <w:tcPr>
            <w:tcW w:type="dxa" w:w="293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Hänger lyssnaren med?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Läs för fort och sedan i lyssnarens takt. Titta upp vid en lång paus.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98"/>
        <w:gridCol w:w="4711"/>
        <w:gridCol w:w="3560"/>
      </w:tblGrid>
      <w:tr>
        <w:trPr>
          <w:cantSplit/>
        </w:trPr>
        <w:tc>
          <w:tcPr>
            <w:tcW w:type="dxa" w:w="10469"/>
            <w:gridSpan w:val="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Passet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Rutorna överst är det eleven gör. Alla läser samtidigt, och ingen läser i tur och ordning.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Delen</w:t>
            </w:r>
          </w:p>
        </w:tc>
        <w:tc>
          <w:tcPr>
            <w:tcW w:type="dxa" w:w="4711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leder du</w:t>
            </w:r>
          </w:p>
        </w:tc>
        <w:tc>
          <w:tcPr>
            <w:tcW w:type="dxa" w:w="3560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Du säger, till exempel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8271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Välj två till fyra meningar där veckans strategi behövs, och visa dem stort på tavlan. Dagens par är högst fyra par i en klass, och alla par i en liten grupp. Det allra första passet står i metoden.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Texten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0–3 min · i par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Paren ger varandra en high five och berättar vad som hände förra gången. Ställ dagens fråga, och paren svarar varandra.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”Hur tror ni att huvudpersonen känner sig nu?”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”Har du varit med om något liknande?”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”Kan det här hända på riktigt?”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Visa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3–6 min · du visar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Fråga vad som händer, skriv ett ord om det i marginalen på tavlan, till exempel rädd, och sätt tecknet. Läs utan och med strategin, och tänk högt. Alla läser efter dig. Från vecka 4 säger klassen var tecknet ska stå.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”Vad förstod ni bättre nu?”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Läs för en lyssnare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6–18 min · i par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Paren läser vidare, en sida var eller ett stycke i åk 2–3, och lyssnaren säger två meningar efter varje tur. Från vecka 4 pekar läsaren först ut ett ställe. Lyssna på dagens par, omkring tre minuter vid varje.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”Säg först vad du förstod.”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”Jag förstod att han var rädd, för att du viskade.”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”Sätt en post-it-lapp där ni slutar.”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Återkoppling</w:t>
            </w:r>
          </w:p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 w:val="false"/>
                <w:bCs w:val="false"/>
                <w:color w:val="555555"/>
                <w:sz w:val="16"/>
                <w:szCs w:val="16"/>
              </w:rPr>
              <w:t xml:space="preserve">18–20 min · alla</w:t>
            </w:r>
          </w:p>
        </w:tc>
        <w:tc>
          <w:tcPr>
            <w:tcW w:type="dxa" w:w="4711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Säg en sak du hörde om texten och en om rösten.</w:t>
            </w:r>
          </w:p>
        </w:tc>
        <w:tc>
          <w:tcPr>
            <w:tcW w:type="dxa" w:w="356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”Många pausade före det spännande, och då blev det spännande.”</w:t>
            </w:r>
          </w:p>
        </w:tc>
      </w:tr>
      <w:tr>
        <w:trPr>
          <w:cantSplit/>
        </w:trPr>
        <w:tc>
          <w:tcPr>
            <w:tcW w:type="dxa" w:w="2198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Efter passet</w:t>
            </w:r>
          </w:p>
        </w:tc>
        <w:tc>
          <w:tcPr>
            <w:tcW w:type="dxa" w:w="8271"/>
            <w:gridSpan w:val="2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Skriv på klasslistan hur varje elev i dagens par klarar veckans mål och vad hen ska pröva.</w:t>
            </w:r>
          </w:p>
        </w:tc>
      </w:tr>
    </w:tbl>
    <w:p>
      <w:pPr>
        <w:spacing w:after="12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46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70"/>
        <w:gridCol w:w="3874"/>
        <w:gridCol w:w="5025"/>
      </w:tblGrid>
      <w:tr>
        <w:trPr>
          <w:cantSplit/>
        </w:trPr>
        <w:tc>
          <w:tcPr>
            <w:tcW w:type="dxa" w:w="10469"/>
            <w:gridSpan w:val="3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FFFFFF"/>
                <w:sz w:val="23"/>
                <w:szCs w:val="23"/>
              </w:rPr>
              <w:t xml:space="preserve">Lyssna efter</w:t>
            </w:r>
            <w:r>
              <w:rPr>
                <w:rFonts w:ascii="Arial" w:cs="Arial" w:eastAsia="Arial" w:hAnsi="Arial"/>
                <w:color w:val="DCE8F5"/>
                <w:sz w:val="18"/>
                <w:szCs w:val="18"/>
              </w:rPr>
              <w:t xml:space="preserve">   Säg vad du förstod och vad i rösten som gjorde det.</w:t>
            </w:r>
          </w:p>
        </w:tc>
      </w:tr>
      <w:tr>
        <w:trPr>
          <w:cantSplit/>
        </w:trPr>
        <w:tc>
          <w:tcPr>
            <w:tcW w:type="dxa" w:w="1570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</w:p>
        </w:tc>
        <w:tc>
          <w:tcPr>
            <w:tcW w:type="dxa" w:w="3874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Det du hör</w:t>
            </w:r>
          </w:p>
        </w:tc>
        <w:tc>
          <w:tcPr>
            <w:tcW w:type="dxa" w:w="5025"/>
            <w:tcBorders>
              <w:top w:val="single" w:color="ebf4fb" w:sz="4"/>
              <w:left w:val="single" w:color="ebf4fb" w:sz="4"/>
              <w:bottom w:val="single" w:color="d6e4f0" w:sz="4"/>
              <w:right w:val="single" w:color="ebf4fb" w:sz="4"/>
            </w:tcBorders>
            <w:shd w:fill="ebf4fb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Next/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17"/>
                <w:szCs w:val="17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157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Farten</w:t>
            </w:r>
          </w:p>
        </w:tc>
        <w:tc>
          <w:tcPr>
            <w:tcW w:type="dxa" w:w="387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Paret läser fort för att hinna längre.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”Vad hände? Läs så att din lyssnare hinner förstå.”</w:t>
            </w:r>
          </w:p>
        </w:tc>
      </w:tr>
      <w:tr>
        <w:trPr>
          <w:cantSplit/>
        </w:trPr>
        <w:tc>
          <w:tcPr>
            <w:tcW w:type="dxa" w:w="157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Rösten</w:t>
            </w:r>
          </w:p>
        </w:tc>
        <w:tc>
          <w:tcPr>
            <w:tcW w:type="dxa" w:w="387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Platt, eller en röst som inte passar texten.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Fråga vad som händer och hur det känns, och låt eleven pröva det på nästa ställe.</w:t>
            </w:r>
          </w:p>
        </w:tc>
      </w:tr>
      <w:tr>
        <w:trPr>
          <w:cantSplit/>
        </w:trPr>
        <w:tc>
          <w:tcPr>
            <w:tcW w:type="dxa" w:w="157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Pausen</w:t>
            </w:r>
          </w:p>
        </w:tc>
        <w:tc>
          <w:tcPr>
            <w:tcW w:type="dxa" w:w="387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Paus inne i en fras, eller en lång paus vid varje komma.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”Var börjar en ny tanke?” Läs meningen för eleven, och låt hen läsa efter.</w:t>
            </w:r>
          </w:p>
        </w:tc>
      </w:tr>
      <w:tr>
        <w:trPr>
          <w:cantSplit/>
        </w:trPr>
        <w:tc>
          <w:tcPr>
            <w:tcW w:type="dxa" w:w="157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Frågan</w:t>
            </w:r>
          </w:p>
        </w:tc>
        <w:tc>
          <w:tcPr>
            <w:tcW w:type="dxa" w:w="387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Frågan låter som resten, eller rösten går upp vid varje ?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”Läs så att det låter som en fråga.”</w:t>
            </w:r>
          </w:p>
        </w:tc>
      </w:tr>
      <w:tr>
        <w:trPr>
          <w:cantSplit/>
        </w:trPr>
        <w:tc>
          <w:tcPr>
            <w:tcW w:type="dxa" w:w="157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Betoningen</w:t>
            </w:r>
          </w:p>
        </w:tc>
        <w:tc>
          <w:tcPr>
            <w:tcW w:type="dxa" w:w="387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Alla ord lika starka, eller betoning som inte passar meningen.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”Vilket ord är viktigast här?” Låt eleven läsa meningen med betoningen där.</w:t>
            </w:r>
          </w:p>
        </w:tc>
      </w:tr>
      <w:tr>
        <w:trPr>
          <w:cantSplit/>
        </w:trPr>
        <w:tc>
          <w:tcPr>
            <w:tcW w:type="dxa" w:w="157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Lyssnaren</w:t>
            </w:r>
          </w:p>
        </w:tc>
        <w:tc>
          <w:tcPr>
            <w:tcW w:type="dxa" w:w="387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Lyssnaren säger bara ”Bra!” eller rättar direkt.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Be om båda meningarna. Påminn om att räkna till fyra.</w:t>
            </w:r>
          </w:p>
        </w:tc>
      </w:tr>
      <w:tr>
        <w:trPr>
          <w:cantSplit/>
        </w:trPr>
        <w:tc>
          <w:tcPr>
            <w:tcW w:type="dxa" w:w="1570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Oron</w:t>
            </w:r>
          </w:p>
        </w:tc>
        <w:tc>
          <w:tcPr>
            <w:tcW w:type="dxa" w:w="3874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Eleven vill inte läsa.</w:t>
            </w:r>
          </w:p>
        </w:tc>
        <w:tc>
          <w:tcPr>
            <w:tcW w:type="dxa" w:w="5025"/>
            <w:tcBorders>
              <w:top w:val="single" w:color="d6e4f0" w:sz="4"/>
              <w:left w:val="none" w:color="FFFFFF" w:sz="0"/>
              <w:bottom w:val="single" w:color="d6e4f0" w:sz="4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40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Paret läser i kör, och eleven knackar när hen vill läsa själv.</w:t>
            </w:r>
          </w:p>
        </w:tc>
      </w:tr>
    </w:tbl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Arial" w:cs="Arial" w:eastAsia="Arial" w:hAnsi="Arial"/>
        <w:sz w:val="19"/>
        <w:szCs w:val="19"/>
      </w:rPr>
    </w:pPr>
    <w:r>
      <w:rPr>
        <w:rFonts w:ascii="Arial" w:cs="Arial" w:eastAsia="Arial" w:hAnsi="Arial"/>
        <w:color w:val="555555"/>
        <w:sz w:val="15"/>
        <w:szCs w:val="15"/>
      </w:rPr>
      <w:t xml:space="preserve">© Niclas Fohlin, niclasfohlin.se, där du skriver ut metodens material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Högläsning i par · Lektionskort</dc:title>
  <dc:creator>Niclas Fohlin</dc:creator>
  <dc:description>© Niclas Fohlin · niclasfohlin.se</dc:description>
  <cp:lastModifiedBy>Un-named</cp:lastModifiedBy>
  <cp:revision>1</cp:revision>
  <dcterms:created xsi:type="dcterms:W3CDTF">2026-10-29T11:57:40.009Z</dcterms:created>
  <dcterms:modified xsi:type="dcterms:W3CDTF">2026-10-29T11:57:40.009Z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