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328"/>
        <w:gridCol w:w="3141"/>
      </w:tblGrid>
      <w:tr>
        <w:trPr>
          <w:cantSplit/>
        </w:trPr>
        <w:tc>
          <w:tcPr>
            <w:tcW w:type="dxa" w:w="7328"/>
            <w:vMerge w:val="restart"/>
            <w:tcBorders>
              <w:top w:val="none" w:color="FFFFFF" w:sz="0"/>
              <w:left w:val="none" w:color="FFFFFF" w:sz="0"/>
              <w:bottom w:val="none" w:color="FFFFFF" w:sz="0"/>
              <w:right w:val="none" w:color="FFFFFF" w:sz="0"/>
            </w:tcBorders>
            <w:tcMar>
              <w:top w:type="dxa" w:w="0"/>
              <w:left w:type="dxa" w:w="0"/>
              <w:bottom w:type="dxa" w:w="0"/>
              <w:right w:type="dxa" w:w="120"/>
            </w:tcMar>
            <w:vAlign w:val="center"/>
          </w:tcPr>
          <w:p>
            <w:pPr>
              <w:spacing w:after="0" w:before="0" w:line="240"/>
              <w:rPr>
                <w:rFonts w:ascii="Arial" w:cs="Arial" w:eastAsia="Arial" w:hAnsi="Arial"/>
                <w:sz w:val="19"/>
                <w:szCs w:val="19"/>
              </w:rPr>
            </w:pPr>
            <w:r>
              <w:rPr>
                <w:rFonts w:ascii="Arial" w:cs="Arial" w:eastAsia="Arial" w:hAnsi="Arial"/>
                <w:b/>
                <w:bCs/>
                <w:color w:val="1f5c99"/>
                <w:sz w:val="44"/>
                <w:szCs w:val="44"/>
              </w:rPr>
              <w:t xml:space="preserve">Kortskrivning: skriv varje dag</w:t>
            </w:r>
          </w:p>
        </w:tc>
        <w:tc>
          <w:tcPr>
            <w:tcW w:type="dxa" w:w="3141"/>
            <w:tcBorders>
              <w:top w:val="single" w:color="1f5c99" w:sz="4"/>
              <w:left w:val="single" w:color="1f5c99" w:sz="4"/>
              <w:bottom w:val="single" w:color="1f5c99" w:sz="4"/>
              <w:right w:val="single" w:color="1f5c99" w:sz="4"/>
            </w:tcBorders>
            <w:shd w:fill="1f5c99" w:color="auto" w:val="clear"/>
            <w:tcMar>
              <w:top w:type="dxa" w:w="45"/>
              <w:left w:type="dxa" w:w="110"/>
              <w:bottom w:type="dxa" w:w="45"/>
              <w:right w:type="dxa" w:w="110"/>
            </w:tcMar>
            <w:vAlign w:val="center"/>
          </w:tcPr>
          <w:p>
            <w:pPr>
              <w:spacing w:after="0" w:before="0" w:line="240"/>
              <w:jc w:val="center"/>
              <w:rPr>
                <w:rFonts w:ascii="Arial" w:cs="Arial" w:eastAsia="Arial" w:hAnsi="Arial"/>
                <w:sz w:val="19"/>
                <w:szCs w:val="19"/>
              </w:rPr>
            </w:pPr>
            <w:r>
              <w:rPr>
                <w:rFonts w:ascii="Arial" w:cs="Arial" w:eastAsia="Arial" w:hAnsi="Arial"/>
                <w:b/>
                <w:bCs/>
                <w:color w:val="FFFFFF"/>
                <w:sz w:val="21"/>
                <w:szCs w:val="21"/>
              </w:rPr>
              <w:t xml:space="preserve">Lektionskort</w:t>
            </w:r>
          </w:p>
        </w:tc>
      </w:tr>
      <w:tr>
        <w:trPr>
          <w:cantSplit/>
        </w:trPr>
        <w:tc>
          <w:tcPr>
            <w:vMerge w:val="continue"/>
            <w:tcBorders>
              <w:top w:val="none" w:color="FFFFFF" w:sz="0"/>
              <w:left w:val="none" w:color="FFFFFF" w:sz="0"/>
              <w:bottom w:val="none" w:color="FFFFFF" w:sz="0"/>
              <w:right w:val="none" w:color="FFFFFF" w:sz="0"/>
            </w:tcBorders>
          </w:tcPr>
          <w:p/>
        </w:tc>
        <w:tc>
          <w:tcPr>
            <w:tcW w:type="dxa" w:w="3141"/>
            <w:tcBorders>
              <w:top w:val="none" w:color="FFFFFF" w:sz="0"/>
              <w:left w:val="none" w:color="FFFFFF" w:sz="0"/>
              <w:bottom w:val="none" w:color="FFFFFF" w:sz="0"/>
              <w:right w:val="none" w:color="FFFFFF" w:sz="0"/>
            </w:tcBorders>
            <w:shd w:fill="FFFFFF" w:color="auto" w:val="clear"/>
            <w:tcMar>
              <w:top w:type="dxa" w:w="45"/>
              <w:left w:type="dxa" w:w="110"/>
              <w:bottom w:type="dxa" w:w="45"/>
              <w:right w:type="dxa" w:w="110"/>
            </w:tcMar>
            <w:vAlign w:val="center"/>
          </w:tcPr>
          <w:p>
            <w:pPr>
              <w:spacing w:after="0" w:before="0" w:line="240"/>
              <w:jc w:val="center"/>
              <w:rPr>
                <w:rFonts w:ascii="Arial" w:cs="Arial" w:eastAsia="Arial" w:hAnsi="Arial"/>
                <w:sz w:val="19"/>
                <w:szCs w:val="19"/>
              </w:rPr>
            </w:pPr>
            <w:r>
              <w:rPr>
                <w:rFonts w:ascii="Arial" w:cs="Arial" w:eastAsia="Arial" w:hAnsi="Arial"/>
                <w:color w:val="1a1a1a"/>
                <w:sz w:val="18"/>
                <w:szCs w:val="18"/>
              </w:rPr>
              <w:t xml:space="preserve">Åk 1–9 · 10–15 minuter · 2–8 elever</w:t>
            </w:r>
          </w:p>
        </w:tc>
      </w:tr>
    </w:tbl>
    <w:p>
      <w:pPr>
        <w:spacing w:after="80" w:before="0" w:line="240"/>
        <w:rPr>
          <w:rFonts w:ascii="Arial" w:cs="Arial" w:eastAsia="Arial" w:hAnsi="Arial"/>
          <w:sz w:val="2"/>
          <w:szCs w:val="2"/>
        </w:rPr>
      </w:pPr>
      <w:r>
        <w:rPr>
          <w:rFonts w:ascii="Arial" w:cs="Arial" w:eastAsia="Arial" w:hAnsi="Arial"/>
          <w:sz w:val="2"/>
          <w:szCs w:val="2"/>
        </w:rPr>
        <w:t xml:space="preserve"/>
      </w:r>
    </w:p>
    <w:p>
      <w:pPr>
        <w:spacing w:after="110" w:before="0" w:line="240"/>
        <w:rPr>
          <w:rFonts w:ascii="Arial" w:cs="Arial" w:eastAsia="Arial" w:hAnsi="Arial"/>
          <w:sz w:val="19"/>
          <w:szCs w:val="19"/>
        </w:rPr>
      </w:pPr>
      <w:r>
        <w:rPr>
          <w:rFonts w:ascii="Arial" w:cs="Arial" w:eastAsia="Arial" w:hAnsi="Arial"/>
          <w:b/>
          <w:bCs/>
          <w:color w:val="1a1a1a"/>
          <w:sz w:val="21"/>
          <w:szCs w:val="21"/>
        </w:rPr>
        <w:t xml:space="preserve">Mål:</w:t>
      </w:r>
      <w:r>
        <w:rPr>
          <w:rFonts w:ascii="Arial" w:cs="Arial" w:eastAsia="Arial" w:hAnsi="Arial"/>
          <w:color w:val="1a1a1a"/>
          <w:sz w:val="21"/>
          <w:szCs w:val="21"/>
        </w:rPr>
        <w:t xml:space="preserve"> kunna börja skriva direkt och skriva utan att stanna.</w:t>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17"/>
        <w:gridCol w:w="2617"/>
        <w:gridCol w:w="2617"/>
        <w:gridCol w:w="2618"/>
      </w:tblGrid>
      <w:tr>
        <w:trPr>
          <w:cantSplit/>
        </w:trPr>
        <w:tc>
          <w:tcPr>
            <w:tcW w:type="dxa" w:w="2617"/>
            <w:tcBorders>
              <w:top w:val="single" w:color="2e75b6" w:sz="18"/>
              <w:left w:val="single" w:color="d6e4f0" w:sz="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3"/>
                <w:szCs w:val="23"/>
              </w:rPr>
              <w:t xml:space="preserve">Dagens kort</w:t>
            </w:r>
          </w:p>
          <w:p>
            <w:pPr>
              <w:spacing w:after="0" w:before="0" w:line="240"/>
              <w:rPr>
                <w:rFonts w:ascii="Arial" w:cs="Arial" w:eastAsia="Arial" w:hAnsi="Arial"/>
                <w:sz w:val="19"/>
                <w:szCs w:val="19"/>
              </w:rPr>
            </w:pPr>
            <w:r>
              <w:rPr>
                <w:rFonts w:ascii="Arial" w:cs="Arial" w:eastAsia="Arial" w:hAnsi="Arial"/>
                <w:color w:val="1a1a1a"/>
                <w:sz w:val="20"/>
                <w:szCs w:val="20"/>
              </w:rPr>
              <w:t xml:space="preserve">Eleven ser dagens kort och hör din första mening.</w:t>
            </w:r>
          </w:p>
        </w:tc>
        <w:tc>
          <w:tcPr>
            <w:tcW w:type="dxa" w:w="2617"/>
            <w:tcBorders>
              <w:top w:val="single" w:color="2e75b6" w:sz="18"/>
              <w:left w:val="single" w:color="FFFFFF" w:sz="2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3"/>
                <w:szCs w:val="23"/>
              </w:rPr>
              <w:t xml:space="preserve">Skriv</w:t>
            </w:r>
          </w:p>
          <w:p>
            <w:pPr>
              <w:spacing w:after="0" w:before="0" w:line="240"/>
              <w:rPr>
                <w:rFonts w:ascii="Arial" w:cs="Arial" w:eastAsia="Arial" w:hAnsi="Arial"/>
                <w:sz w:val="19"/>
                <w:szCs w:val="19"/>
              </w:rPr>
            </w:pPr>
            <w:r>
              <w:rPr>
                <w:rFonts w:ascii="Arial" w:cs="Arial" w:eastAsia="Arial" w:hAnsi="Arial"/>
                <w:color w:val="1a1a1a"/>
                <w:sz w:val="20"/>
                <w:szCs w:val="20"/>
              </w:rPr>
              <w:t xml:space="preserve">Eleven skriver utan att stanna tills klockan ringer.</w:t>
            </w:r>
          </w:p>
        </w:tc>
        <w:tc>
          <w:tcPr>
            <w:tcW w:type="dxa" w:w="2617"/>
            <w:tcBorders>
              <w:top w:val="single" w:color="2e75b6" w:sz="18"/>
              <w:left w:val="single" w:color="FFFFFF" w:sz="2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3"/>
                <w:szCs w:val="23"/>
              </w:rPr>
              <w:t xml:space="preserve">Skriv vidare</w:t>
            </w:r>
          </w:p>
          <w:p>
            <w:pPr>
              <w:spacing w:after="0" w:before="0" w:line="240"/>
              <w:rPr>
                <w:rFonts w:ascii="Arial" w:cs="Arial" w:eastAsia="Arial" w:hAnsi="Arial"/>
                <w:sz w:val="19"/>
                <w:szCs w:val="19"/>
              </w:rPr>
            </w:pPr>
            <w:r>
              <w:rPr>
                <w:rFonts w:ascii="Arial" w:cs="Arial" w:eastAsia="Arial" w:hAnsi="Arial"/>
                <w:color w:val="1a1a1a"/>
                <w:sz w:val="20"/>
                <w:szCs w:val="20"/>
              </w:rPr>
              <w:t xml:space="preserve">Eleven stryker över, eller skriver sista ordet igen när det tar stopp.</w:t>
            </w:r>
          </w:p>
        </w:tc>
        <w:tc>
          <w:tcPr>
            <w:tcW w:type="dxa" w:w="2618"/>
            <w:tcBorders>
              <w:top w:val="single" w:color="2e75b6" w:sz="18"/>
              <w:left w:val="single" w:color="FFFFFF" w:sz="24"/>
              <w:bottom w:val="single" w:color="d6e4f0" w:sz="4"/>
              <w:right w:val="single" w:color="d6e4f0" w:sz="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3"/>
                <w:szCs w:val="23"/>
              </w:rPr>
              <w:t xml:space="preserve">Dela</w:t>
            </w:r>
          </w:p>
          <w:p>
            <w:pPr>
              <w:spacing w:after="0" w:before="0" w:line="240"/>
              <w:rPr>
                <w:rFonts w:ascii="Arial" w:cs="Arial" w:eastAsia="Arial" w:hAnsi="Arial"/>
                <w:sz w:val="19"/>
                <w:szCs w:val="19"/>
              </w:rPr>
            </w:pPr>
            <w:r>
              <w:rPr>
                <w:rFonts w:ascii="Arial" w:cs="Arial" w:eastAsia="Arial" w:hAnsi="Arial"/>
                <w:color w:val="1a1a1a"/>
                <w:sz w:val="20"/>
                <w:szCs w:val="20"/>
              </w:rPr>
              <w:t xml:space="preserve">Eleven läser en rad för en kamrat, som vill höra mer.</w:t>
            </w:r>
          </w:p>
        </w:tc>
      </w:tr>
    </w:tbl>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3"/>
        <w:gridCol w:w="4502"/>
        <w:gridCol w:w="3664"/>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Passet</w:t>
            </w:r>
            <w:r>
              <w:rPr>
                <w:rFonts w:ascii="Arial" w:cs="Arial" w:eastAsia="Arial" w:hAnsi="Arial"/>
                <w:color w:val="DCE8F5"/>
                <w:sz w:val="18"/>
                <w:szCs w:val="18"/>
              </w:rPr>
              <w:t xml:space="preserve">   Uppgiften varje dag: ”Skriv vad du tänker när du ser, läser eller tänker på det här.”</w:t>
            </w:r>
          </w:p>
        </w:tc>
      </w:tr>
      <w:tr>
        <w:trPr>
          <w:cantSplit/>
        </w:trPr>
        <w:tc>
          <w:tcPr>
            <w:tcW w:type="dxa" w:w="2303"/>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Delen</w:t>
            </w:r>
          </w:p>
        </w:tc>
        <w:tc>
          <w:tcPr>
            <w:tcW w:type="dxa" w:w="4502"/>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leder du</w:t>
            </w:r>
          </w:p>
        </w:tc>
        <w:tc>
          <w:tcPr>
            <w:tcW w:type="dxa" w:w="3664"/>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Du säger, till exempel</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Före passet</w:t>
            </w:r>
          </w:p>
        </w:tc>
        <w:tc>
          <w:tcPr>
            <w:tcW w:type="dxa" w:w="8166"/>
            <w:gridSpan w:val="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Ta fram dagens skrivkort: i pass 1–10 kortet med passets nummer i Börja här, och sedan ett kort från sidan </w:t>
            </w:r>
            <w:hyperlink w:history="1" r:id="rIdqyewfk6d66cmrjaccpgez">
              <w:r>
                <w:rPr>
                  <w:rFonts w:ascii="Arial" w:cs="Arial" w:eastAsia="Arial" w:hAnsi="Arial"/>
                  <w:color w:val="2e75b6"/>
                  <w:sz w:val="18"/>
                  <w:szCs w:val="18"/>
                  <w:u w:val="single" w:color="2e75b6"/>
                </w:rPr>
                <w:t xml:space="preserve">Ta fram ett skrivkort</w:t>
              </w:r>
            </w:hyperlink>
            <w:r>
              <w:rPr>
                <w:rFonts w:ascii="Arial" w:cs="Arial" w:eastAsia="Arial" w:hAnsi="Arial"/>
                <w:color w:val="1a1a1a"/>
                <w:sz w:val="18"/>
                <w:szCs w:val="18"/>
              </w:rPr>
              <w:t xml:space="preserve"> på niclasfohlin.se. Tänk ut din egen första mening. På bordet: skrivböcker, pennor, högen med gruppens kort och lösa papper. Alla ser en klocka.</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Dagens kort</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2 min · alla</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Visa kortet, och läs högt om det är ett citat eller en händelse. Säg uppgiften och din egen första mening.</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Till båtarna i öknen: ”Det började med att vattnet sjönk.”</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Skriv</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3–8 min · var och en</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Starta klockan på dagens skrivtid, först tre minuter. Alla skriver utan att stanna. I de tio första passen skriver du också den första minuten. När klockan ringer skriver eleverna klart sin mening.</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”Låt inte pennan stanna, även när det är trögt.”</w:t>
            </w:r>
          </w:p>
          <w:p>
            <w:pPr>
              <w:spacing w:after="0" w:before="0" w:line="240"/>
              <w:rPr>
                <w:rFonts w:ascii="Arial" w:cs="Arial" w:eastAsia="Arial" w:hAnsi="Arial"/>
                <w:sz w:val="19"/>
                <w:szCs w:val="19"/>
              </w:rPr>
            </w:pPr>
            <w:r>
              <w:rPr>
                <w:rFonts w:ascii="Arial" w:cs="Arial" w:eastAsia="Arial" w:hAnsi="Arial"/>
                <w:color w:val="1a1a1a"/>
                <w:sz w:val="18"/>
                <w:szCs w:val="18"/>
              </w:rPr>
              <w:t xml:space="preserve">”Stryk över och skriv vidare.”</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Dela</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5 min · i par eller tre</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Eleverna stryker under en rad och läser den för en kamrat, som säger ”Berätta mer om …”. Den som läste berättar eller skriver en rad till.</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”Den som vill står över.”</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Veckans sista pass</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i Skriv, 2–3 min till</w:t>
            </w:r>
          </w:p>
        </w:tc>
        <w:tc>
          <w:tcPr>
            <w:tcW w:type="dxa" w:w="8166"/>
            <w:gridSpan w:val="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Ta gärna ett bildkort. Säg ”streck” efter tre minuter. Alla drar ett streck efter sitt sista ord och skriver vidare. När klockan ringer räknar eleven orden fram till strecket och skriver antalet i Min skrivlista.</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Efter passet</w:t>
            </w:r>
          </w:p>
        </w:tc>
        <w:tc>
          <w:tcPr>
            <w:tcW w:type="dxa" w:w="8166"/>
            <w:gridSpan w:val="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Skriv upp vilka som inte började inom en minut, suddade eller slutade före klockan, och nästa skrivtid. Skrev de flesta när klockan ringde: en minut till, upp till åtta. Slutade de före: en minut mindre, ned till tre.</w:t>
            </w:r>
          </w:p>
        </w:tc>
      </w:tr>
    </w:tbl>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59"/>
        <w:gridCol w:w="6910"/>
      </w:tblGrid>
      <w:tr>
        <w:trPr>
          <w:cantSplit/>
        </w:trPr>
        <w:tc>
          <w:tcPr>
            <w:tcW w:type="dxa" w:w="10469"/>
            <w:gridSpan w:val="2"/>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När pennan stannar</w:t>
            </w:r>
            <w:r>
              <w:rPr>
                <w:rFonts w:ascii="Arial" w:cs="Arial" w:eastAsia="Arial" w:hAnsi="Arial"/>
                <w:color w:val="DCE8F5"/>
                <w:sz w:val="18"/>
                <w:szCs w:val="18"/>
              </w:rPr>
              <w:t xml:space="preserve">   Ingen rättar, och du läser bara det eleven själv visar.</w:t>
            </w:r>
          </w:p>
        </w:tc>
      </w:tr>
      <w:tr>
        <w:trPr>
          <w:cantSplit/>
        </w:trPr>
        <w:tc>
          <w:tcPr>
            <w:tcW w:type="dxa" w:w="3559"/>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Det du ser eller hör</w:t>
            </w:r>
          </w:p>
        </w:tc>
        <w:tc>
          <w:tcPr>
            <w:tcW w:type="dxa" w:w="6910"/>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gör du</w:t>
            </w:r>
          </w:p>
        </w:tc>
      </w:tr>
      <w:tr>
        <w:trPr>
          <w:cantSplit/>
        </w:trPr>
        <w:tc>
          <w:tcPr>
            <w:tcW w:type="dxa" w:w="355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”Är det rätt?”</w:t>
            </w:r>
          </w:p>
        </w:tc>
        <w:tc>
          <w:tcPr>
            <w:tcW w:type="dxa" w:w="691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”Det du skriver är rätt.” Visar eleven sin text, säger du: ”Berätta mer om …”</w:t>
            </w:r>
          </w:p>
        </w:tc>
      </w:tr>
      <w:tr>
        <w:trPr>
          <w:cantSplit/>
        </w:trPr>
        <w:tc>
          <w:tcPr>
            <w:tcW w:type="dxa" w:w="355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har inte börjat efter en minut</w:t>
            </w:r>
          </w:p>
        </w:tc>
        <w:tc>
          <w:tcPr>
            <w:tcW w:type="dxa" w:w="691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Sätt dig bredvid: ”Vad var din första tanke?” Skriv elevens ord som första rad. ”Det där är dina ord. Fortsätt.” Nästa pass säger du bara: ”Skriv det.”</w:t>
            </w:r>
          </w:p>
        </w:tc>
      </w:tr>
      <w:tr>
        <w:trPr>
          <w:cantSplit/>
        </w:trPr>
        <w:tc>
          <w:tcPr>
            <w:tcW w:type="dxa" w:w="355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har inte skrivit på tre pass</w:t>
            </w:r>
          </w:p>
        </w:tc>
        <w:tc>
          <w:tcPr>
            <w:tcW w:type="dxa" w:w="691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Fråga var det tar stopp. Idén: välj kort tillsammans. Orden: skriv det eleven säger. Modet: ett löst papper att slänga.</w:t>
            </w:r>
          </w:p>
        </w:tc>
      </w:tr>
      <w:tr>
        <w:trPr>
          <w:cantSplit/>
        </w:trPr>
        <w:tc>
          <w:tcPr>
            <w:tcW w:type="dxa" w:w="355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”Hur stavas det?”</w:t>
            </w:r>
          </w:p>
        </w:tc>
        <w:tc>
          <w:tcPr>
            <w:tcW w:type="dxa" w:w="691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”Skriv det som du hör det, sätt prickar under och skriv vidare.”</w:t>
            </w:r>
          </w:p>
        </w:tc>
      </w:tr>
      <w:tr>
        <w:trPr>
          <w:cantSplit/>
        </w:trPr>
        <w:tc>
          <w:tcPr>
            <w:tcW w:type="dxa" w:w="355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suddar</w:t>
            </w:r>
          </w:p>
        </w:tc>
        <w:tc>
          <w:tcPr>
            <w:tcW w:type="dxa" w:w="691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”Stryk över och skriv vidare.” En pil får visa vart tanken gick.</w:t>
            </w:r>
          </w:p>
        </w:tc>
      </w:tr>
      <w:tr>
        <w:trPr>
          <w:cantSplit/>
        </w:trPr>
        <w:tc>
          <w:tcPr>
            <w:tcW w:type="dxa" w:w="355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”Klar!” efter två rader</w:t>
            </w:r>
          </w:p>
        </w:tc>
        <w:tc>
          <w:tcPr>
            <w:tcW w:type="dxa" w:w="691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”Skriv ditt sista ord igen tills nästa tanke kommer.”</w:t>
            </w:r>
          </w:p>
        </w:tc>
      </w:tr>
      <w:tr>
        <w:trPr>
          <w:cantSplit/>
        </w:trPr>
        <w:tc>
          <w:tcPr>
            <w:tcW w:type="dxa" w:w="355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”Jag kommer inte på något.”</w:t>
            </w:r>
          </w:p>
        </w:tc>
        <w:tc>
          <w:tcPr>
            <w:tcW w:type="dxa" w:w="691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”Ta ett kort ur högen, eller skriv om något annat.”</w:t>
            </w:r>
          </w:p>
        </w:tc>
      </w:tr>
    </w:tbl>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7"/>
        <w:gridCol w:w="2931"/>
        <w:gridCol w:w="6491"/>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De tio första passen</w:t>
            </w:r>
            <w:r>
              <w:rPr>
                <w:rFonts w:ascii="Arial" w:cs="Arial" w:eastAsia="Arial" w:hAnsi="Arial"/>
                <w:color w:val="DCE8F5"/>
                <w:sz w:val="18"/>
                <w:szCs w:val="18"/>
              </w:rPr>
              <w:t xml:space="preserve">   Eleverna säger sin första tanke till en kamrat innan klockan startar.</w:t>
            </w:r>
          </w:p>
        </w:tc>
      </w:tr>
      <w:tr>
        <w:trPr>
          <w:cantSplit/>
        </w:trPr>
        <w:tc>
          <w:tcPr>
            <w:tcW w:type="dxa" w:w="104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Pass</w:t>
            </w:r>
          </w:p>
        </w:tc>
        <w:tc>
          <w:tcPr>
            <w:tcW w:type="dxa" w:w="2931"/>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En början att låna</w:t>
            </w:r>
          </w:p>
        </w:tc>
        <w:tc>
          <w:tcPr>
            <w:tcW w:type="dxa" w:w="6491"/>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Du säger innan klockan startar</w:t>
            </w:r>
          </w:p>
        </w:tc>
      </w:tr>
      <w:tr>
        <w:trPr>
          <w:cantSplit/>
        </w:trPr>
        <w:tc>
          <w:tcPr>
            <w:tcW w:type="dxa" w:w="1047"/>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1</w:t>
            </w:r>
          </w:p>
        </w:tc>
        <w:tc>
          <w:tcPr>
            <w:tcW w:type="dxa" w:w="293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”Jag ser …”</w:t>
            </w:r>
          </w:p>
        </w:tc>
        <w:tc>
          <w:tcPr>
            <w:tcW w:type="dxa" w:w="649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”Jag är inte ute efter ett visst svar. Det du skriver är rätt.”</w:t>
            </w:r>
          </w:p>
        </w:tc>
      </w:tr>
      <w:tr>
        <w:trPr>
          <w:cantSplit/>
        </w:trPr>
        <w:tc>
          <w:tcPr>
            <w:tcW w:type="dxa" w:w="1047"/>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2</w:t>
            </w:r>
          </w:p>
        </w:tc>
        <w:tc>
          <w:tcPr>
            <w:tcW w:type="dxa" w:w="293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”Jag tänker på …”</w:t>
            </w:r>
          </w:p>
        </w:tc>
        <w:tc>
          <w:tcPr>
            <w:tcW w:type="dxa" w:w="649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”Det här skrivandet är för att tänka och lära, inte för att rättas.”</w:t>
            </w:r>
          </w:p>
        </w:tc>
      </w:tr>
      <w:tr>
        <w:trPr>
          <w:cantSplit/>
        </w:trPr>
        <w:tc>
          <w:tcPr>
            <w:tcW w:type="dxa" w:w="1047"/>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3</w:t>
            </w:r>
          </w:p>
        </w:tc>
        <w:tc>
          <w:tcPr>
            <w:tcW w:type="dxa" w:w="293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”Det började med att …”</w:t>
            </w:r>
          </w:p>
        </w:tc>
        <w:tc>
          <w:tcPr>
            <w:tcW w:type="dxa" w:w="649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”Det är själva skrivandet som är viktigt, inte att det blir klart.”</w:t>
            </w:r>
          </w:p>
        </w:tc>
      </w:tr>
      <w:tr>
        <w:trPr>
          <w:cantSplit/>
        </w:trPr>
        <w:tc>
          <w:tcPr>
            <w:tcW w:type="dxa" w:w="1047"/>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4</w:t>
            </w:r>
          </w:p>
        </w:tc>
        <w:tc>
          <w:tcPr>
            <w:tcW w:type="dxa" w:w="293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”Jag undrar …”</w:t>
            </w:r>
          </w:p>
        </w:tc>
        <w:tc>
          <w:tcPr>
            <w:tcW w:type="dxa" w:w="649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”Vi skriver för att utveckla våra tankar. Det är värt något i sig.”</w:t>
            </w:r>
          </w:p>
        </w:tc>
      </w:tr>
      <w:tr>
        <w:trPr>
          <w:cantSplit/>
        </w:trPr>
        <w:tc>
          <w:tcPr>
            <w:tcW w:type="dxa" w:w="1047"/>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5</w:t>
            </w:r>
          </w:p>
        </w:tc>
        <w:tc>
          <w:tcPr>
            <w:tcW w:type="dxa" w:w="293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”Strax innan …”</w:t>
            </w:r>
          </w:p>
        </w:tc>
        <w:tc>
          <w:tcPr>
            <w:tcW w:type="dxa" w:w="649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”Vissa texter är bara dina. Ibland delar vi en mening med varandra.”</w:t>
            </w:r>
          </w:p>
        </w:tc>
      </w:tr>
      <w:tr>
        <w:trPr>
          <w:cantSplit/>
        </w:trPr>
        <w:tc>
          <w:tcPr>
            <w:tcW w:type="dxa" w:w="1047"/>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6</w:t>
            </w:r>
          </w:p>
        </w:tc>
        <w:tc>
          <w:tcPr>
            <w:tcW w:type="dxa" w:w="293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”Tänk om …”</w:t>
            </w:r>
          </w:p>
        </w:tc>
        <w:tc>
          <w:tcPr>
            <w:tcW w:type="dxa" w:w="649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”Skriv och se vart det leder. Låt inte pennan stanna.”</w:t>
            </w:r>
          </w:p>
        </w:tc>
      </w:tr>
      <w:tr>
        <w:trPr>
          <w:cantSplit/>
        </w:trPr>
        <w:tc>
          <w:tcPr>
            <w:tcW w:type="dxa" w:w="1047"/>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7–10</w:t>
            </w:r>
          </w:p>
        </w:tc>
        <w:tc>
          <w:tcPr>
            <w:tcW w:type="dxa" w:w="9422"/>
            <w:gridSpan w:val="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7 ”Om jag var där …” · 8 ”Det påminner mig om …” · 9 ”Nästa dag …” · 10 ”Jag tror att …”</w:t>
            </w:r>
          </w:p>
        </w:tc>
      </w:tr>
    </w:tbl>
    <w:p>
      <w:pPr>
        <w:spacing w:after="0" w:before="70" w:line="240"/>
        <w:rPr>
          <w:rFonts w:ascii="Arial" w:cs="Arial" w:eastAsia="Arial" w:hAnsi="Arial"/>
          <w:sz w:val="19"/>
          <w:szCs w:val="19"/>
        </w:rPr>
      </w:pPr>
      <w:r>
        <w:rPr>
          <w:rFonts w:ascii="Arial" w:cs="Arial" w:eastAsia="Arial" w:hAnsi="Arial"/>
          <w:color w:val="1a1a1a"/>
          <w:sz w:val="18"/>
          <w:szCs w:val="18"/>
        </w:rPr>
        <w:t xml:space="preserve">Skriv dagens början på bladet på väggen, under de förra, och börja din egen mening med den. I Dela läser du din rad först. Det första passet tar 25 minuter och står i metoden, efter passet.</w:t>
      </w:r>
    </w:p>
    <w:sectPr>
      <w:headerReference w:type="default" r:id="rId7"/>
      <w:footerReference w:type="default" r:id="rId8"/>
      <w:pgSz w:w="11909" w:h="16834" w:orient="portrait"/>
      <w:pgMar w:top="720" w:right="720" w:bottom="720" w:left="720" w:header="360"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Arial" w:cs="Arial" w:eastAsia="Arial" w:hAnsi="Arial"/>
        <w:sz w:val="19"/>
        <w:szCs w:val="19"/>
      </w:rPr>
    </w:pPr>
    <w:r>
      <w:rPr>
        <w:rFonts w:ascii="Arial" w:cs="Arial" w:eastAsia="Arial" w:hAnsi="Arial"/>
        <w:color w:val="555555"/>
        <w:sz w:val="15"/>
        <w:szCs w:val="15"/>
      </w:rPr>
      <w:t xml:space="preserve">© Niclas Fohlin, niclasfohlin.se, där du skriver ut metodens material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Arial" w:cs="Arial" w:eastAsia="Arial" w:hAnsi="Arial"/>
        <w:sz w:val="2"/>
        <w:szCs w:val="2"/>
      </w:rPr>
    </w:pPr>
    <w:r>
      <w:rPr>
        <w:rFonts w:ascii="Arial" w:cs="Arial" w:eastAsia="Arial" w:hAnsi="Arial"/>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qyewfk6d66cmrjaccpgez" Type="http://schemas.openxmlformats.org/officeDocument/2006/relationships/hyperlink" Target="https://niclasfohlin.se/skrivkort"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Kortskrivning: skriv varje dag · Lektionskort</dc:title>
  <dc:creator>Niclas Fohlin</dc:creator>
  <dc:description>© Niclas Fohlin · niclasfohlin.se</dc:description>
  <cp:lastModifiedBy>Un-named</cp:lastModifiedBy>
  <cp:revision>1</cp:revision>
  <dcterms:created xsi:type="dcterms:W3CDTF">2026-10-29T11:57:41.433Z</dcterms:created>
  <dcterms:modified xsi:type="dcterms:W3CDTF">2026-10-29T11:57:41.433Z</dcterms:modified>
</cp:coreProperties>
</file>

<file path=docProps/custom.xml><?xml version="1.0" encoding="utf-8"?>
<Properties xmlns="http://schemas.openxmlformats.org/officeDocument/2006/custom-properties" xmlns:vt="http://schemas.openxmlformats.org/officeDocument/2006/docPropsVTypes"/>
</file>