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När pennan stannar</w:t>
      </w:r>
    </w:p>
    <w:p>
      <w:pPr>
        <w:keepNext/>
        <w:spacing w:after="120" w:before="0"/>
      </w:pPr>
      <w:r>
        <w:t xml:space="preserve">Här står det du ser när pennan stannar, och vad du gör och säger då. </w:t>
      </w:r>
      <w:hyperlink w:history="1" r:id="rIdu6ybvaske_uazbnf_xlsj">
        <w:r>
          <w:rPr>
            <w:color w:val="1D4F91"/>
            <w:u w:val="single" w:color="1D4F91"/>
          </w:rPr>
          <w:t xml:space="preserve">Skrivstrategier</w:t>
        </w:r>
      </w:hyperlink>
      <w:r>
        <w:t xml:space="preserve"> är ett A4 på metodens sida. Där står fler sätt att komma igång och skriva vidare, under Berätta först och Skriv vidare.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 eller hör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”Är det rätt?”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du skriver är rätt.”</w:t>
            </w:r>
            <w:r>
              <w:rPr>
                <w:i w:val="false"/>
                <w:iCs w:val="false"/>
                <w:sz w:val="20"/>
                <w:szCs w:val="20"/>
              </w:rPr>
              <w:t xml:space="preserve"> Visar eleven sin text svarar du som i Dela: </w:t>
            </w:r>
            <w:r>
              <w:rPr>
                <w:i/>
                <w:iCs/>
                <w:sz w:val="20"/>
                <w:szCs w:val="20"/>
              </w:rPr>
              <w:t xml:space="preserve">”Berätta mer om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börjat efter en minut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Sätt dig bredvid: </w:t>
            </w:r>
            <w:r>
              <w:rPr>
                <w:i/>
                <w:iCs/>
                <w:sz w:val="20"/>
                <w:szCs w:val="20"/>
              </w:rPr>
              <w:t xml:space="preserve">”Vad var din första tanke?”</w:t>
            </w:r>
            <w:r>
              <w:rPr>
                <w:i w:val="false"/>
                <w:iCs w:val="false"/>
                <w:sz w:val="20"/>
                <w:szCs w:val="20"/>
              </w:rPr>
              <w:t xml:space="preserve"> Skriv elevens ord som första rad i skrivboken. </w:t>
            </w:r>
            <w:r>
              <w:rPr>
                <w:i/>
                <w:iCs/>
                <w:sz w:val="20"/>
                <w:szCs w:val="20"/>
              </w:rPr>
              <w:t xml:space="preserve">”Det där är dina ord. Fortsätt.”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elev har inte börjat nästa pass heller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var din första tanke? Skriv det.”</w:t>
            </w:r>
            <w:r>
              <w:rPr>
                <w:i w:val="false"/>
                <w:iCs w:val="false"/>
                <w:sz w:val="20"/>
                <w:szCs w:val="20"/>
              </w:rPr>
              <w:t xml:space="preserve"> Skriv bara de första orden åt den som inte får ned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skrivit på tre pass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var det tar stopp. Är det idén, väljer ni kort tillsammans. Är det orden, skriver du det eleven säger. Är det modet, skriver eleven på ett löst papper som hen får slänga.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”Hur stavas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det som du hör det, sätt prickar under och skriv vidare.”</w:t>
            </w:r>
            <w:r>
              <w:rPr>
                <w:i w:val="false"/>
                <w:iCs w:val="false"/>
                <w:sz w:val="20"/>
                <w:szCs w:val="20"/>
              </w:rPr>
              <w:t xml:space="preserve"> Stavningen tar ni en annan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suddar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”Stryk över och skriv vidare.”</w:t>
            </w:r>
            <w:r>
              <w:rPr>
                <w:i w:val="false"/>
                <w:iCs w:val="false"/>
                <w:sz w:val="20"/>
                <w:szCs w:val="20"/>
              </w:rPr>
              <w:t xml:space="preserve"> En pil får visa vart tanken gick. Ge gärna alla en bläckpenna.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”Klar!”</w:t>
            </w:r>
            <w:r>
              <w:rPr>
                <w:i w:val="false"/>
                <w:iCs w:val="false"/>
                <w:sz w:val="20"/>
                <w:szCs w:val="20"/>
              </w:rPr>
              <w:t xml:space="preserve"> efter två rader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ditt sista ord igen tills nästa tanke kommer.”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kommer inte på något.”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”Ta ett kort ur högen, eller skriv om något annat.”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står över i Dela gång på gång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en tanke ur texten, eller låt din kamrat läsa raden tyst.”</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cd3f7d8-55d7-e903-a02c-960f026dd5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6ybvaske_uazbnf_xlsj" Type="http://schemas.openxmlformats.org/officeDocument/2006/relationships/hyperlink" Target="https://niclasfohlin.se/skrivstrategie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När pennan stannar · Kortskrivning: skriv varje dag</dc:title>
  <dc:creator>Niclas Fohlin</dc:creator>
  <dc:description>© Niclas Fohlin · niclasfohlin.se</dc:description>
  <cp:lastModifiedBy>Un-named</cp:lastModifiedBy>
  <cp:revision>1</cp:revision>
  <dcterms:created xsi:type="dcterms:W3CDTF">2026-10-29T11:57:41.524Z</dcterms:created>
  <dcterms:modified xsi:type="dcterms:W3CDTF">2026-10-29T11:57:41.524Z</dcterms:modified>
</cp:coreProperties>
</file>

<file path=docProps/custom.xml><?xml version="1.0" encoding="utf-8"?>
<Properties xmlns="http://schemas.openxmlformats.org/officeDocument/2006/custom-properties" xmlns:vt="http://schemas.openxmlformats.org/officeDocument/2006/docPropsVTypes"/>
</file>