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Meningarna</w:t>
      </w:r>
    </w:p>
    <w:p>
      <w:pPr>
        <w:keepNext/>
        <w:spacing w:after="120" w:before="0"/>
      </w:pPr>
      <w:r>
        <w:t xml:space="preserve">Här står meningarna till raderna Två ord, Tre ord och Fyra ord, i bokstävernas ordning. Ta de första meningarna som bara har bokstäver som gruppen har haft. En mening med ett namn mitt i, som ”Ola ser Lisa”, står sist i raden. Byt gärna ett namn mot namnet på någon i gruppen, när det stavas som det låter.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Raden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Meningarna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ord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Ola ler. Lisa ror. Vi ler. Ola vilar. Elin målar. Vi åker. Ali syr. Mira läser. Vi äter.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Tre ord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Ola ser solen. Elin ser solen. Mira ser mos. Vi ser solen. Ali tar mos. Vi har is. Vi äter mat. Mira läser mera. Elin ser snö. Ola ser Lisa.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Fyra ord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Ola ror i solen. Vi vilar i solen. Elin tar mos nu. Mira målar tre hus. Vi äter mat ute. Mira har tre bär. Ali ser tre sälar.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Alla ord är ljudenliga. Säg vad ett ord betyder första gången, som ror och syr. Låt r:et höras, som i har, ser och målar, också när nästa ord börjar med s, t eller l.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ae9d214-6f08-7400-a48c-f6f08002f7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Meningarna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2026-10-29T11:57:45.130Z</dcterms:created>
  <dcterms:modified xsi:type="dcterms:W3CDTF">2026-10-29T11:57:45.130Z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