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46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328"/>
        <w:gridCol w:w="3141"/>
      </w:tblGrid>
      <w:tr>
        <w:trPr>
          <w:cantSplit/>
        </w:trPr>
        <w:tc>
          <w:tcPr>
            <w:tcW w:type="dxa" w:w="7328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  <w:vAlign w:val="center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44"/>
                <w:szCs w:val="44"/>
              </w:rPr>
              <w:t xml:space="preserve">Seriesamtal: en egen serie</w:t>
            </w:r>
          </w:p>
        </w:tc>
        <w:tc>
          <w:tcPr>
            <w:tcW w:type="dxa" w:w="3141"/>
            <w:tcBorders>
              <w:top w:val="single" w:color="1f5c99" w:sz="4"/>
              <w:left w:val="single" w:color="1f5c99" w:sz="4"/>
              <w:bottom w:val="single" w:color="1f5c99" w:sz="4"/>
              <w:right w:val="single" w:color="1f5c99" w:sz="4"/>
            </w:tcBorders>
            <w:shd w:fill="1f5c99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Lektionskort</w:t>
            </w:r>
          </w:p>
        </w:tc>
      </w:tr>
      <w:tr>
        <w:trPr>
          <w:cantSplit/>
        </w:trPr>
        <w:tc>
          <w:tcPr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31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F–5 · 30 minuter · 1–4 elever</w:t>
            </w:r>
          </w:p>
        </w:tc>
      </w:tr>
    </w:tbl>
    <w:p>
      <w:pPr>
        <w:spacing w:after="8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spacing w:after="110" w:before="0" w:line="240"/>
        <w:rPr>
          <w:rFonts w:ascii="Arial" w:cs="Arial" w:eastAsia="Arial" w:hAnsi="Arial"/>
          <w:sz w:val="19"/>
          <w:szCs w:val="19"/>
        </w:rPr>
      </w:pP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Mål:</w:t>
      </w:r>
      <w:r>
        <w:rPr>
          <w:rFonts w:ascii="Arial" w:cs="Arial" w:eastAsia="Arial" w:hAnsi="Arial"/>
          <w:color w:val="1a1a1a"/>
          <w:sz w:val="21"/>
          <w:szCs w:val="21"/>
        </w:rPr>
        <w:t xml:space="preserve"> kunna se en händelse ovanifrån och göra en plan för nästa gång.</w:t>
      </w:r>
    </w:p>
    <w:tbl>
      <w:tblPr>
        <w:tblW w:type="dxa" w:w="1046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17"/>
        <w:gridCol w:w="2617"/>
        <w:gridCol w:w="2617"/>
        <w:gridCol w:w="2618"/>
      </w:tblGrid>
      <w:tr>
        <w:trPr>
          <w:cantSplit/>
        </w:trPr>
        <w:tc>
          <w:tcPr>
            <w:tcW w:type="dxa" w:w="2617"/>
            <w:tcBorders>
              <w:top w:val="single" w:color="2e75b6" w:sz="18"/>
              <w:left w:val="single" w:color="d6e4f0" w:sz="4"/>
              <w:bottom w:val="single" w:color="d6e4f0" w:sz="4"/>
              <w:right w:val="single" w:color="FFFFFF" w:sz="24"/>
            </w:tcBorders>
            <w:shd w:fill="f8fbfd" w:color="auto" w:val="clear"/>
            <w:tcMar>
              <w:top w:type="dxa" w:w="90"/>
              <w:left w:type="dxa" w:w="130"/>
              <w:bottom w:type="dxa" w:w="90"/>
              <w:right w:type="dxa" w:w="110"/>
            </w:tcMar>
            <w:vAlign w:val="top"/>
          </w:tcPr>
          <w:p>
            <w:pPr>
              <w:spacing w:after="3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3"/>
                <w:szCs w:val="23"/>
              </w:rPr>
              <w:t xml:space="preserve">Spola tillbaka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Ägaren berättar från när det var lugnt, en ruta i taget.</w:t>
            </w:r>
          </w:p>
        </w:tc>
        <w:tc>
          <w:tcPr>
            <w:tcW w:type="dxa" w:w="2617"/>
            <w:tcBorders>
              <w:top w:val="single" w:color="2e75b6" w:sz="18"/>
              <w:left w:val="single" w:color="FFFFFF" w:sz="24"/>
              <w:bottom w:val="single" w:color="d6e4f0" w:sz="4"/>
              <w:right w:val="single" w:color="FFFFFF" w:sz="24"/>
            </w:tcBorders>
            <w:shd w:fill="f8fbfd" w:color="auto" w:val="clear"/>
            <w:tcMar>
              <w:top w:type="dxa" w:w="90"/>
              <w:left w:type="dxa" w:w="130"/>
              <w:bottom w:type="dxa" w:w="90"/>
              <w:right w:type="dxa" w:w="110"/>
            </w:tcMar>
            <w:vAlign w:val="top"/>
          </w:tcPr>
          <w:p>
            <w:pPr>
              <w:spacing w:after="3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3"/>
                <w:szCs w:val="23"/>
              </w:rPr>
              <w:t xml:space="preserve">Tankarna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Båda personerna får en tankebubbla.</w:t>
            </w:r>
          </w:p>
        </w:tc>
        <w:tc>
          <w:tcPr>
            <w:tcW w:type="dxa" w:w="2617"/>
            <w:tcBorders>
              <w:top w:val="single" w:color="2e75b6" w:sz="18"/>
              <w:left w:val="single" w:color="FFFFFF" w:sz="24"/>
              <w:bottom w:val="single" w:color="d6e4f0" w:sz="4"/>
              <w:right w:val="single" w:color="FFFFFF" w:sz="24"/>
            </w:tcBorders>
            <w:shd w:fill="f8fbfd" w:color="auto" w:val="clear"/>
            <w:tcMar>
              <w:top w:type="dxa" w:w="90"/>
              <w:left w:type="dxa" w:w="130"/>
              <w:bottom w:type="dxa" w:w="90"/>
              <w:right w:type="dxa" w:w="110"/>
            </w:tcMar>
            <w:vAlign w:val="top"/>
          </w:tcPr>
          <w:p>
            <w:pPr>
              <w:spacing w:after="3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3"/>
                <w:szCs w:val="23"/>
              </w:rPr>
              <w:t xml:space="preserve">Ovanifrån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Ägaren väljer rutan där någon hade behövt göra annorlunda.</w:t>
            </w:r>
          </w:p>
        </w:tc>
        <w:tc>
          <w:tcPr>
            <w:tcW w:type="dxa" w:w="2618"/>
            <w:tcBorders>
              <w:top w:val="single" w:color="2e75b6" w:sz="18"/>
              <w:left w:val="single" w:color="FFFFFF" w:sz="24"/>
              <w:bottom w:val="single" w:color="d6e4f0" w:sz="4"/>
              <w:right w:val="single" w:color="d6e4f0" w:sz="4"/>
            </w:tcBorders>
            <w:shd w:fill="f8fbfd" w:color="auto" w:val="clear"/>
            <w:tcMar>
              <w:top w:type="dxa" w:w="90"/>
              <w:left w:type="dxa" w:w="130"/>
              <w:bottom w:type="dxa" w:w="90"/>
              <w:right w:type="dxa" w:w="110"/>
            </w:tcMar>
            <w:vAlign w:val="top"/>
          </w:tcPr>
          <w:p>
            <w:pPr>
              <w:spacing w:after="3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3"/>
                <w:szCs w:val="23"/>
              </w:rPr>
              <w:t xml:space="preserve">Nästa gång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Ägaren väljer hur det kan bli i stället, och ni ritar det.</w:t>
            </w:r>
          </w:p>
        </w:tc>
      </w:tr>
    </w:tbl>
    <w:p>
      <w:pPr>
        <w:spacing w:after="12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46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3"/>
        <w:gridCol w:w="4502"/>
        <w:gridCol w:w="3664"/>
      </w:tblGrid>
      <w:tr>
        <w:trPr>
          <w:cantSplit/>
        </w:trPr>
        <w:tc>
          <w:tcPr>
            <w:tcW w:type="dxa" w:w="10469"/>
            <w:gridSpan w:val="3"/>
            <w:tcBorders>
              <w:top w:val="single" w:color="1f5c99" w:sz="4"/>
              <w:left w:val="single" w:color="1f5c99" w:sz="4"/>
              <w:bottom w:val="single" w:color="1f5c99" w:sz="4"/>
              <w:right w:val="single" w:color="1f5c99" w:sz="4"/>
            </w:tcBorders>
            <w:shd w:fill="1f5c99" w:color="auto" w:val="clear"/>
            <w:tcMar>
              <w:top w:type="dxa" w:w="70"/>
              <w:left w:type="dxa" w:w="130"/>
              <w:bottom w:type="dxa" w:w="70"/>
              <w:right w:type="dxa" w:w="130"/>
            </w:tcMar>
          </w:tcPr>
          <w:p>
            <w:pPr>
              <w:keepNext/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FFFFFF"/>
                <w:sz w:val="23"/>
                <w:szCs w:val="23"/>
              </w:rPr>
              <w:t xml:space="preserve">Passet</w:t>
            </w:r>
            <w:r>
              <w:rPr>
                <w:rFonts w:ascii="Arial" w:cs="Arial" w:eastAsia="Arial" w:hAnsi="Arial"/>
                <w:color w:val="DCE8F5"/>
                <w:sz w:val="18"/>
                <w:szCs w:val="18"/>
              </w:rPr>
              <w:t xml:space="preserve">   Från pass 8 äger en elev serien. Ägaren bestämmer, du rättar inget, och andra heter ”en kompis”.</w:t>
            </w:r>
          </w:p>
        </w:tc>
      </w:tr>
      <w:tr>
        <w:trPr>
          <w:cantSplit/>
        </w:trPr>
        <w:tc>
          <w:tcPr>
            <w:tcW w:type="dxa" w:w="2303"/>
            <w:tcBorders>
              <w:top w:val="single" w:color="ebf4fb" w:sz="4"/>
              <w:left w:val="single" w:color="ebf4fb" w:sz="4"/>
              <w:bottom w:val="single" w:color="d6e4f0" w:sz="4"/>
              <w:right w:val="single" w:color="ebf4fb" w:sz="4"/>
            </w:tcBorders>
            <w:shd w:fill="ebf4fb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Delen</w:t>
            </w:r>
          </w:p>
        </w:tc>
        <w:tc>
          <w:tcPr>
            <w:tcW w:type="dxa" w:w="4502"/>
            <w:tcBorders>
              <w:top w:val="single" w:color="ebf4fb" w:sz="4"/>
              <w:left w:val="single" w:color="ebf4fb" w:sz="4"/>
              <w:bottom w:val="single" w:color="d6e4f0" w:sz="4"/>
              <w:right w:val="single" w:color="ebf4fb" w:sz="4"/>
            </w:tcBorders>
            <w:shd w:fill="ebf4fb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Så leder du</w:t>
            </w:r>
          </w:p>
        </w:tc>
        <w:tc>
          <w:tcPr>
            <w:tcW w:type="dxa" w:w="3664"/>
            <w:tcBorders>
              <w:top w:val="single" w:color="ebf4fb" w:sz="4"/>
              <w:left w:val="single" w:color="ebf4fb" w:sz="4"/>
              <w:bottom w:val="single" w:color="d6e4f0" w:sz="4"/>
              <w:right w:val="single" w:color="ebf4fb" w:sz="4"/>
            </w:tcBorders>
            <w:shd w:fill="ebf4fb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Du säger, till exempel</w:t>
            </w:r>
          </w:p>
        </w:tc>
      </w:tr>
      <w:tr>
        <w:trPr>
          <w:cantSplit/>
        </w:trPr>
        <w:tc>
          <w:tcPr>
            <w:tcW w:type="dxa" w:w="2303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Dagen före</w:t>
            </w:r>
          </w:p>
        </w:tc>
        <w:tc>
          <w:tcPr>
            <w:tcW w:type="dxa" w:w="4502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Prata fem minuter med ägaren, nästa elev i ordningen från pass 7. Ta händelsen när den är över, hen vill och ingen i gruppen var med. Skriv ut mallen med fyra rutor på A3.</w:t>
            </w:r>
          </w:p>
        </w:tc>
        <w:tc>
          <w:tcPr>
            <w:tcW w:type="dxa" w:w="3664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”Vill du rita något som har hänt dig, eller något som brukar bli svårt? Är det över nu? Får de andra höra det?”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”Jag bestämmer inte vem som hade rätt.”</w:t>
            </w:r>
          </w:p>
        </w:tc>
      </w:tr>
      <w:tr>
        <w:trPr>
          <w:cantSplit/>
        </w:trPr>
        <w:tc>
          <w:tcPr>
            <w:tcW w:type="dxa" w:w="2303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Spaningen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6"/>
                <w:szCs w:val="16"/>
              </w:rPr>
              <w:t xml:space="preserve">0–4 min · alla</w:t>
            </w:r>
          </w:p>
        </w:tc>
        <w:tc>
          <w:tcPr>
            <w:tcW w:type="dxa" w:w="4502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Läs gruppens regler på väggen. Var och en säger vad hen har lagt märke till.</w:t>
            </w:r>
          </w:p>
        </w:tc>
        <w:tc>
          <w:tcPr>
            <w:tcW w:type="dxa" w:w="3664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”Vad såg du någon säga eller göra?”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”Hur gick det med din plan?”</w:t>
            </w:r>
          </w:p>
        </w:tc>
      </w:tr>
      <w:tr>
        <w:trPr>
          <w:cantSplit/>
        </w:trPr>
        <w:tc>
          <w:tcPr>
            <w:tcW w:type="dxa" w:w="2303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Spola tillbaka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6"/>
                <w:szCs w:val="16"/>
              </w:rPr>
              <w:t xml:space="preserve">4–11 min · ägaren</w:t>
            </w:r>
          </w:p>
        </w:tc>
        <w:tc>
          <w:tcPr>
            <w:tcW w:type="dxa" w:w="4502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Ägaren berättar kort vad som hände. Spola tillbaka till när det var lugnt, ruta 1, och gå fram en ruta i taget till konflikten. Ägaren väljer om du eller hen ritar.</w:t>
            </w:r>
          </w:p>
        </w:tc>
        <w:tc>
          <w:tcPr>
            <w:tcW w:type="dxa" w:w="3664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”Var var du? Vad gjorde du precis innan? Vad ville du då?”</w:t>
            </w:r>
          </w:p>
        </w:tc>
      </w:tr>
      <w:tr>
        <w:trPr>
          <w:cantSplit/>
        </w:trPr>
        <w:tc>
          <w:tcPr>
            <w:tcW w:type="dxa" w:w="2303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Tankarna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6"/>
                <w:szCs w:val="16"/>
              </w:rPr>
              <w:t xml:space="preserve">11–17 min · alla</w:t>
            </w:r>
          </w:p>
        </w:tc>
        <w:tc>
          <w:tcPr>
            <w:tcW w:type="dxa" w:w="4502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Rita först ägarens tankebubblor, i ruta 1 och där det gick snett. De andra säger vad de undrar, och ägaren väljer tanken i den andra personens bubbla.</w:t>
            </w:r>
          </w:p>
        </w:tc>
        <w:tc>
          <w:tcPr>
            <w:tcW w:type="dxa" w:w="3664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”Vad tänkte du där?”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”Får vi undra över vad den andra tänkte?”</w:t>
            </w:r>
          </w:p>
        </w:tc>
      </w:tr>
      <w:tr>
        <w:trPr>
          <w:cantSplit/>
        </w:trPr>
        <w:tc>
          <w:tcPr>
            <w:tcW w:type="dxa" w:w="2303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Ovanifrån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6"/>
                <w:szCs w:val="16"/>
              </w:rPr>
              <w:t xml:space="preserve">17–21 min · alla</w:t>
            </w:r>
          </w:p>
        </w:tc>
        <w:tc>
          <w:tcPr>
            <w:tcW w:type="dxa" w:w="4502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Ägaren berättar hela serien och bestämmer i vilken ruta någon hade behövt göra annorlunda.</w:t>
            </w:r>
          </w:p>
        </w:tc>
        <w:tc>
          <w:tcPr>
            <w:tcW w:type="dxa" w:w="3664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”Vad gjorde du som hen märkte?”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”I vilken ruta hade någon behövt tänka och göra annorlunda?”</w:t>
            </w:r>
          </w:p>
        </w:tc>
      </w:tr>
      <w:tr>
        <w:trPr>
          <w:cantSplit/>
        </w:trPr>
        <w:tc>
          <w:tcPr>
            <w:tcW w:type="dxa" w:w="2303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Nästa gång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6"/>
                <w:szCs w:val="16"/>
              </w:rPr>
              <w:t xml:space="preserve">21–27 min · alla</w:t>
            </w:r>
          </w:p>
        </w:tc>
        <w:tc>
          <w:tcPr>
            <w:tcW w:type="dxa" w:w="4502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De andra föreslår, ägaren väljer, och ägaren eller du ritar det på bladet Nästa gång. Det ska vara bra för båda.</w:t>
            </w:r>
          </w:p>
        </w:tc>
        <w:tc>
          <w:tcPr>
            <w:tcW w:type="dxa" w:w="3664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”Hur kan det bli i stället?”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”Vad kan den andra göra? Vad kan vi vuxna göra?”</w:t>
            </w:r>
          </w:p>
        </w:tc>
      </w:tr>
      <w:tr>
        <w:trPr>
          <w:cantSplit/>
        </w:trPr>
        <w:tc>
          <w:tcPr>
            <w:tcW w:type="dxa" w:w="2303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Med mig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6"/>
                <w:szCs w:val="16"/>
              </w:rPr>
              <w:t xml:space="preserve">27–30 min · alla</w:t>
            </w:r>
          </w:p>
        </w:tc>
        <w:tc>
          <w:tcPr>
            <w:tcW w:type="dxa" w:w="4502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Var och en säger vad hen tar med sig. Säg något ägaren gjorde bra. Dela ut spanarbladen. Planen blir ägarens uppdrag.</w:t>
            </w:r>
          </w:p>
        </w:tc>
        <w:tc>
          <w:tcPr>
            <w:tcW w:type="dxa" w:w="3664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”Du berättade fast det var svårt.”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”Lägg märke till en gång när det nästan blev bråk, men det blev inget.”</w:t>
            </w:r>
          </w:p>
        </w:tc>
      </w:tr>
      <w:tr>
        <w:trPr>
          <w:cantSplit/>
        </w:trPr>
        <w:tc>
          <w:tcPr>
            <w:tcW w:type="dxa" w:w="2303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Efter passet</w:t>
            </w:r>
          </w:p>
        </w:tc>
        <w:tc>
          <w:tcPr>
            <w:tcW w:type="dxa" w:w="8166"/>
            <w:gridSpan w:val="2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Fyll i bladet Min plan med ägaren, omkring tio minuter, och skriv planen på hens spanarblad.</w:t>
            </w:r>
          </w:p>
        </w:tc>
      </w:tr>
    </w:tbl>
    <w:p>
      <w:pPr>
        <w:spacing w:after="12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46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56"/>
        <w:gridCol w:w="9213"/>
      </w:tblGrid>
      <w:tr>
        <w:trPr>
          <w:cantSplit/>
        </w:trPr>
        <w:tc>
          <w:tcPr>
            <w:tcW w:type="dxa" w:w="10469"/>
            <w:gridSpan w:val="2"/>
            <w:tcBorders>
              <w:top w:val="single" w:color="1f5c99" w:sz="4"/>
              <w:left w:val="single" w:color="1f5c99" w:sz="4"/>
              <w:bottom w:val="single" w:color="1f5c99" w:sz="4"/>
              <w:right w:val="single" w:color="1f5c99" w:sz="4"/>
            </w:tcBorders>
            <w:shd w:fill="1f5c99" w:color="auto" w:val="clear"/>
            <w:tcMar>
              <w:top w:type="dxa" w:w="70"/>
              <w:left w:type="dxa" w:w="130"/>
              <w:bottom w:type="dxa" w:w="70"/>
              <w:right w:type="dxa" w:w="130"/>
            </w:tcMar>
          </w:tcPr>
          <w:p>
            <w:pPr>
              <w:keepNext/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FFFFFF"/>
                <w:sz w:val="23"/>
                <w:szCs w:val="23"/>
              </w:rPr>
              <w:t xml:space="preserve">När eleven inte hittar tanken</w:t>
            </w:r>
            <w:r>
              <w:rPr>
                <w:rFonts w:ascii="Arial" w:cs="Arial" w:eastAsia="Arial" w:hAnsi="Arial"/>
                <w:color w:val="DCE8F5"/>
                <w:sz w:val="18"/>
                <w:szCs w:val="18"/>
              </w:rPr>
              <w:t xml:space="preserve">   Börja med det som syns. Tanken kommer sedan.</w:t>
            </w:r>
          </w:p>
        </w:tc>
      </w:tr>
      <w:tr>
        <w:trPr>
          <w:cantSplit/>
        </w:trPr>
        <w:tc>
          <w:tcPr>
            <w:tcW w:type="dxa" w:w="1256"/>
            <w:tcBorders>
              <w:top w:val="single" w:color="ebf4fb" w:sz="4"/>
              <w:left w:val="single" w:color="ebf4fb" w:sz="4"/>
              <w:bottom w:val="single" w:color="d6e4f0" w:sz="4"/>
              <w:right w:val="single" w:color="ebf4fb" w:sz="4"/>
            </w:tcBorders>
            <w:shd w:fill="ebf4fb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Steget</w:t>
            </w:r>
          </w:p>
        </w:tc>
        <w:tc>
          <w:tcPr>
            <w:tcW w:type="dxa" w:w="9213"/>
            <w:tcBorders>
              <w:top w:val="single" w:color="ebf4fb" w:sz="4"/>
              <w:left w:val="single" w:color="ebf4fb" w:sz="4"/>
              <w:bottom w:val="single" w:color="d6e4f0" w:sz="4"/>
              <w:right w:val="single" w:color="ebf4fb" w:sz="4"/>
            </w:tcBorders>
            <w:shd w:fill="ebf4fb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Så gör du</w:t>
            </w:r>
          </w:p>
        </w:tc>
      </w:tr>
      <w:tr>
        <w:trPr>
          <w:cantSplit/>
        </w:trPr>
        <w:tc>
          <w:tcPr>
            <w:tcW w:type="dxa" w:w="1256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1</w:t>
            </w:r>
          </w:p>
        </w:tc>
        <w:tc>
          <w:tcPr>
            <w:tcW w:type="dxa" w:w="9213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Peka på personen i rutan: ”Vad gjorde hen? Vad sa hen?”</w:t>
            </w:r>
          </w:p>
        </w:tc>
      </w:tr>
      <w:tr>
        <w:trPr>
          <w:cantSplit/>
        </w:trPr>
        <w:tc>
          <w:tcPr>
            <w:tcW w:type="dxa" w:w="1256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2</w:t>
            </w:r>
          </w:p>
        </w:tc>
        <w:tc>
          <w:tcPr>
            <w:tcW w:type="dxa" w:w="9213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Spegla det eleven sa, och vänta.</w:t>
            </w:r>
          </w:p>
        </w:tc>
      </w:tr>
      <w:tr>
        <w:trPr>
          <w:cantSplit/>
        </w:trPr>
        <w:tc>
          <w:tcPr>
            <w:tcW w:type="dxa" w:w="1256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3</w:t>
            </w:r>
          </w:p>
        </w:tc>
        <w:tc>
          <w:tcPr>
            <w:tcW w:type="dxa" w:w="9213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Ge två tankar att välja mellan: ”Tänker hon ’Jag vill vara med’ eller ’De vill inte ha mig’?”</w:t>
            </w:r>
          </w:p>
        </w:tc>
      </w:tr>
      <w:tr>
        <w:trPr>
          <w:cantSplit/>
        </w:trPr>
        <w:tc>
          <w:tcPr>
            <w:tcW w:type="dxa" w:w="1256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4</w:t>
            </w:r>
          </w:p>
        </w:tc>
        <w:tc>
          <w:tcPr>
            <w:tcW w:type="dxa" w:w="9213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Säg början på meningen: ”Hon tror att …” Eller säg en tanke själv: ”Kan det vara så?”</w:t>
            </w:r>
          </w:p>
        </w:tc>
      </w:tr>
    </w:tbl>
    <w:p>
      <w:pPr>
        <w:spacing w:after="12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46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59"/>
        <w:gridCol w:w="6910"/>
      </w:tblGrid>
      <w:tr>
        <w:trPr>
          <w:cantSplit/>
        </w:trPr>
        <w:tc>
          <w:tcPr>
            <w:tcW w:type="dxa" w:w="10469"/>
            <w:gridSpan w:val="2"/>
            <w:tcBorders>
              <w:top w:val="single" w:color="1f5c99" w:sz="4"/>
              <w:left w:val="single" w:color="1f5c99" w:sz="4"/>
              <w:bottom w:val="single" w:color="1f5c99" w:sz="4"/>
              <w:right w:val="single" w:color="1f5c99" w:sz="4"/>
            </w:tcBorders>
            <w:shd w:fill="1f5c99" w:color="auto" w:val="clear"/>
            <w:tcMar>
              <w:top w:type="dxa" w:w="70"/>
              <w:left w:type="dxa" w:w="130"/>
              <w:bottom w:type="dxa" w:w="70"/>
              <w:right w:type="dxa" w:w="130"/>
            </w:tcMar>
          </w:tcPr>
          <w:p>
            <w:pPr>
              <w:keepNext/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FFFFFF"/>
                <w:sz w:val="23"/>
                <w:szCs w:val="23"/>
              </w:rPr>
              <w:t xml:space="preserve">Om något händer</w:t>
            </w:r>
            <w:r>
              <w:rPr>
                <w:rFonts w:ascii="Arial" w:cs="Arial" w:eastAsia="Arial" w:hAnsi="Arial"/>
                <w:color w:val="DCE8F5"/>
                <w:sz w:val="18"/>
                <w:szCs w:val="18"/>
              </w:rPr>
              <w:t xml:space="preserve">   Säg vad eleven gjorde bra i samtalet, och sitt kvar bredvid.</w:t>
            </w:r>
          </w:p>
        </w:tc>
      </w:tr>
      <w:tr>
        <w:trPr>
          <w:cantSplit/>
        </w:trPr>
        <w:tc>
          <w:tcPr>
            <w:tcW w:type="dxa" w:w="3559"/>
            <w:tcBorders>
              <w:top w:val="single" w:color="ebf4fb" w:sz="4"/>
              <w:left w:val="single" w:color="ebf4fb" w:sz="4"/>
              <w:bottom w:val="single" w:color="d6e4f0" w:sz="4"/>
              <w:right w:val="single" w:color="ebf4fb" w:sz="4"/>
            </w:tcBorders>
            <w:shd w:fill="ebf4fb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Det som händer</w:t>
            </w:r>
          </w:p>
        </w:tc>
        <w:tc>
          <w:tcPr>
            <w:tcW w:type="dxa" w:w="6910"/>
            <w:tcBorders>
              <w:top w:val="single" w:color="ebf4fb" w:sz="4"/>
              <w:left w:val="single" w:color="ebf4fb" w:sz="4"/>
              <w:bottom w:val="single" w:color="d6e4f0" w:sz="4"/>
              <w:right w:val="single" w:color="ebf4fb" w:sz="4"/>
            </w:tcBorders>
            <w:shd w:fill="ebf4fb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Så gör du</w:t>
            </w:r>
          </w:p>
        </w:tc>
      </w:tr>
      <w:tr>
        <w:trPr>
          <w:cantSplit/>
        </w:trPr>
        <w:tc>
          <w:tcPr>
            <w:tcW w:type="dxa" w:w="3559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”Han började!”</w:t>
            </w:r>
          </w:p>
        </w:tc>
        <w:tc>
          <w:tcPr>
            <w:tcW w:type="dxa" w:w="6910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”Då spolar vi tillbaka. Vad hände innan?” Rita hela serien, och stanna i Ovanifrån i rutan där eleven själv gjorde något.</w:t>
            </w:r>
          </w:p>
        </w:tc>
      </w:tr>
      <w:tr>
        <w:trPr>
          <w:cantSplit/>
        </w:trPr>
        <w:tc>
          <w:tcPr>
            <w:tcW w:type="dxa" w:w="3559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eleven försvarar sig eller skäms</w:t>
            </w:r>
          </w:p>
        </w:tc>
        <w:tc>
          <w:tcPr>
            <w:tcW w:type="dxa" w:w="6910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Peka på rutan och prata om den: ”Titta på ruta 3. Vad händer där?”</w:t>
            </w:r>
          </w:p>
        </w:tc>
      </w:tr>
      <w:tr>
        <w:trPr>
          <w:cantSplit/>
        </w:trPr>
        <w:tc>
          <w:tcPr>
            <w:tcW w:type="dxa" w:w="3559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ägaren är sårad eller vill ha straff</w:t>
            </w:r>
          </w:p>
        </w:tc>
        <w:tc>
          <w:tcPr>
            <w:tcW w:type="dxa" w:w="6910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”Vad behöver hända för att det ska bli bra för dig?” Säg att de vuxna tar hand om det som gäller den andra.</w:t>
            </w:r>
          </w:p>
        </w:tc>
      </w:tr>
      <w:tr>
        <w:trPr>
          <w:cantSplit/>
        </w:trPr>
        <w:tc>
          <w:tcPr>
            <w:tcW w:type="dxa" w:w="3559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ingen äger serien i dag</w:t>
            </w:r>
          </w:p>
        </w:tc>
        <w:tc>
          <w:tcPr>
            <w:tcW w:type="dxa" w:w="6910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Rita något som ska hända och som gruppen väljer, eller ta en av metodens bildserier.</w:t>
            </w:r>
          </w:p>
        </w:tc>
      </w:tr>
      <w:tr>
        <w:trPr>
          <w:cantSplit/>
        </w:trPr>
        <w:tc>
          <w:tcPr>
            <w:tcW w:type="dxa" w:w="3559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eleven blir upprörd</w:t>
            </w:r>
          </w:p>
        </w:tc>
        <w:tc>
          <w:tcPr>
            <w:tcW w:type="dxa" w:w="6910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Lägg ned pennan och gör en paus. Serien kan vänta till nästa pass.</w:t>
            </w:r>
          </w:p>
        </w:tc>
      </w:tr>
      <w:tr>
        <w:trPr>
          <w:cantSplit/>
        </w:trPr>
        <w:tc>
          <w:tcPr>
            <w:tcW w:type="dxa" w:w="3559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en elev berättar om en kränkning eller att någon far illa</w:t>
            </w:r>
          </w:p>
        </w:tc>
        <w:tc>
          <w:tcPr>
            <w:tcW w:type="dxa" w:w="6910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Avbryt passet lugnt, prata med eleven för sig och följ skolans rutin.</w:t>
            </w:r>
          </w:p>
        </w:tc>
      </w:tr>
    </w:tbl>
    <w:p>
      <w:pPr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sectPr>
      <w:headerReference w:type="default" r:id="rId7"/>
      <w:footerReference w:type="default" r:id="rId8"/>
      <w:pgSz w:w="11909" w:h="16834" w:orient="portrait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rPr>
        <w:rFonts w:ascii="Arial" w:cs="Arial" w:eastAsia="Arial" w:hAnsi="Arial"/>
        <w:sz w:val="19"/>
        <w:szCs w:val="19"/>
      </w:rPr>
    </w:pPr>
    <w:r>
      <w:rPr>
        <w:rFonts w:ascii="Arial" w:cs="Arial" w:eastAsia="Arial" w:hAnsi="Arial"/>
        <w:color w:val="555555"/>
        <w:sz w:val="15"/>
        <w:szCs w:val="15"/>
      </w:rPr>
      <w:t xml:space="preserve">© Niclas Fohlin, niclasfohlin.se, där du skriver ut metodens material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/>
      <w:rPr>
        <w:rFonts w:ascii="Arial" w:cs="Arial" w:eastAsia="Arial" w:hAnsi="Arial"/>
        <w:sz w:val="2"/>
        <w:szCs w:val="2"/>
      </w:rPr>
    </w:pPr>
    <w:r>
      <w:rPr>
        <w:rFonts w:ascii="Arial" w:cs="Arial" w:eastAsia="Arial" w:hAnsi="Arial"/>
        <w:sz w:val="2"/>
        <w:szCs w:val="2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Seriesamtal: en egen serie · Lektionskort</dc:title>
  <dc:creator>Niclas Fohlin</dc:creator>
  <dc:description>© Niclas Fohlin · niclasfohlin.se</dc:description>
  <cp:lastModifiedBy>Un-named</cp:lastModifiedBy>
  <cp:revision>1</cp:revision>
  <dcterms:created xsi:type="dcterms:W3CDTF">2026-10-29T11:58:04.233Z</dcterms:created>
  <dcterms:modified xsi:type="dcterms:W3CDTF">2026-10-29T11:58:04.233Z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