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0146"/>
            </w:tblGrid>
            <w:tr>
              <w:tc>
                <w:tcPr>
                  <w:tcW w:type="dxa" w:w="10146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670" w:right="67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Spela det som står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24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240" w:before="0" w:line="230"/>
                    <w:ind w:left="670" w:right="670"/>
                    <w:jc w:val="center"/>
                  </w:pPr>
                  <w:r>
                    <w:rPr>
                      <w:rFonts w:ascii="Andika" w:cs="Andika" w:eastAsia="Andika" w:hAnsi="Andika"/>
                      <w:color w:val="2B2622"/>
                      <w:sz w:val="30"/>
                      <w:szCs w:val="30"/>
                    </w:rPr>
                    <w:t xml:space="preserve">Ett annat par spelar bara det som står i er saga. Där spelarna står stilla behöver läsaren veta mer.</w:t>
                  </w:r>
                </w:p>
              </w:tc>
            </w:tr>
            <w:tr>
              <w:trPr>
                <w:trHeight w:val="11985" w:hRule="atLeast"/>
              </w:trPr>
              <w:tc>
                <w:tcPr>
                  <w:tcW w:type="dxa" w:w="10146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200" w:before="0"/>
                    <w:jc w:val="center"/>
                  </w:pPr>
                  <w:r>
                    <w:drawing>
                      <wp:inline distT="0" distB="0" distL="0" distR="0">
                        <wp:extent cx="3914775" cy="2200275"/>
                        <wp:effectExtent t="0" r="0" b="0" l="0"/>
                        <wp:docPr id="16032" name="Bild 13032" descr="På bordet: Strukturen · Spela det som står. Det ena paret läser med fingret under orden, och spelarna står stilla där sagan säger för lite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14775" cy="2200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200" w:before="0" w:line="240"/>
                    <w:ind w:left="2373" w:right="23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16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6"/>
                      <w:szCs w:val="26"/>
                    </w:rPr>
                    <w:t xml:space="preserve">Så gör ni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1.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Ni läser vid bordet, och det andra paret spelar på golvet bredvid.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2.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En av er läser sagan högt, med fingret under orden.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3.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Spelarna gör och säger bara det som står. Står det inget, står de stilla.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4.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Står spelarna stilla, säger de ”Stopp!”, och ni sätter ett streck där.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5.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När sagan är slut frågar ni: ”Var stod ni stilla?”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6.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Byt: nu läser det andra paret, och ni spelar.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0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7.</w:t>
                  </w:r>
                  <w:r>
                    <w:rPr>
                      <w:sz w:val="28"/>
                      <w:szCs w:val="28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8"/>
                      <w:szCs w:val="28"/>
                    </w:rPr>
                    <w:t xml:space="preserve">Sist skriver ni en mening där spelarna stod stilla, och stryker det som inte gick att spela.</w:t>
                  </w:r>
                </w:p>
                <w:p>
                  <w:pPr>
                    <w:keepLines/>
                    <w:pBdr>
                      <w:top w:val="single" w:color="8C2A1E" w:sz="8" w:space="8"/>
                      <w:bottom w:val="single" w:color="8C2A1E" w:sz="8" w:space="8"/>
                      <w:left w:val="single" w:color="8C2A1E" w:sz="8" w:space="8"/>
                      <w:right w:val="single" w:color="8C2A1E" w:sz="8" w:space="8"/>
                    </w:pBdr>
                    <w:spacing w:after="200" w:before="200" w:line="240"/>
                    <w:ind w:left="970" w:right="970"/>
                  </w:pPr>
                  <w:r>
                    <w:rPr>
                      <w:rFonts w:ascii="Cinzel" w:cs="Cinzel" w:eastAsia="Cinzel" w:hAnsi="Cinzel"/>
                      <w:color w:val="8C2A1E"/>
                      <w:sz w:val="25"/>
                      <w:szCs w:val="25"/>
                    </w:rPr>
                    <w:t xml:space="preserve">Så tränar ni sagans väg</w:t>
                  </w:r>
                  <w:r>
                    <w:rPr>
                      <w:sz w:val="25"/>
                      <w:szCs w:val="25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25"/>
                      <w:szCs w:val="25"/>
                    </w:rPr>
                    <w:t xml:space="preserve">Ni ser var sagan säger för lite och läsaren inte ser hjälten göra något.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a5dd1287-0456-d0c9-4f9d-7bf976cea382}"/>
  </w:font>
  <w:font w:name="Cinzel">
    <w:family w:val="auto"/>
    <w:pitch w:val="variable"/>
    <w:sig w:usb0="E0002AFF" w:usb1="C000247B" w:usb2="00000009" w:usb3="00000000" w:csb0="000001FF" w:csb1="00000000"/>
    <w:embedRegular r:id="rId2" w:fontKey="{3f6d2cca-a7aa-c684-de32-f191dfb8a0ea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e842aec4-1f41-5ff3-f7fc-874e99543db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Pass 12 och 20: Alla par spelar samtidigt i omkring tio minuter, och med ett udda antal par spelar du med. Hittar den som läser på något, läser du texten själv.</w:t>
    </w:r>
    <w:r>
      <w:rPr>
        <w:rFonts w:ascii="Arial" w:cs="Arial" w:eastAsia="Arial" w:hAnsi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niclasfohlin.se/stodundervisning/skrivkurs-sagoboken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7431ae7ed659437395f430b9811615334f4a118e.svg"/><Relationship Id="rId10" Type="http://schemas.openxmlformats.org/officeDocument/2006/relationships/image" Target="media/b6b81efa21cffaef7740392e53f87f45edbb768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Strukturen, pass 12 och 20: Spela det som står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2026-10-29T11:58:12.280Z</dcterms:created>
  <dcterms:modified xsi:type="dcterms:W3CDTF">2026-10-29T11:58:12.280Z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