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t xml:space="preserve">Till läraren om bladen</w:t>
      </w:r>
    </w:p>
    <w:p>
      <w:pPr>
        <w:spacing w:after="160" w:before="0"/>
      </w:pPr>
      <w:r>
        <w:rPr>
          <w:i/>
          <w:iCs/>
          <w:color w:val="1D4F91"/>
          <w:sz w:val="24"/>
          <w:szCs w:val="24"/>
        </w:rPr>
        <w:t xml:space="preserve">Skrivkurs: värdeskapande skrivande · åk 4–⁠9</w:t>
      </w:r>
    </w:p>
    <w:p>
      <w:pPr>
        <w:keepNext/>
        <w:spacing w:after="40" w:before="0"/>
      </w:pPr>
      <w:r>
        <w:rPr>
          <w:b/>
          <w:bCs/>
          <w:sz w:val="24"/>
          <w:szCs w:val="24"/>
        </w:rPr>
        <w:t xml:space="preserve">Berättelsen, Skattjakten vecka 4: Till laget</w:t>
      </w:r>
    </w:p>
    <w:p>
      <w:pPr>
        <w:keepNext/>
        <w:spacing w:after="60" w:before="0"/>
      </w:pPr>
      <w:r>
        <w:t xml:space="preserve">Det här är skatten. Laget är med i berättelsen, och den ligger i skattkistan.</w:t>
      </w:r>
    </w:p>
    <w:p>
      <w:pPr>
        <w:spacing w:after="100" w:before="0"/>
      </w:pPr>
      <w:r>
        <w:rPr>
          <w:color w:val="4B5866"/>
          <w:sz w:val="20"/>
          <w:szCs w:val="20"/>
        </w:rPr>
        <w:t xml:space="preserve">Till läraren: En per elev, renskriven i vecka 4. Blir berättelsen lång, fortsätter den på baksidan. Är läsarna blivande sjuor, handlar berättelsen i stället om elevens första dag här, och den är sann.</w:t>
      </w:r>
    </w:p>
    <w:p>
      <w:pPr>
        <w:spacing w:after="120" w:before="160"/>
      </w:pPr>
      <w:r>
        <w:rPr>
          <w:color w:val="4B5866"/>
          <w:sz w:val="18"/>
          <w:szCs w:val="18"/>
        </w:rPr>
        <w:t xml:space="preserve">© Niclas Fohlin. Ur Skrivkurs: värdeskapande skrivande, https://niclasfohlin.se/stodundervisning/skrivkurs-vardeskapande.</w:t>
      </w:r>
    </w:p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7"/>
          <w:footerReference w:type="default" r:id="rId8"/>
          <w:pgSz w:w="11906" w:h="16838" w:orient="portrait"/>
          <w:pgMar w:top="1134" w:right="1134" w:bottom="1134" w:left="1134" w:header="567" w:footer="567" w:gutter="0"/>
          <w:pgNumType/>
          <w:docGrid w:linePitch="360"/>
        </w:sectPr>
      </w:pPr>
    </w:p>
    <w:p>
      <w:pPr>
        <w:spacing w:after="0" w:before="0" w:line="240"/>
        <w:jc w:val="center"/>
        <w:rPr>
          <w:rFonts w:ascii="Calibri" w:cs="Calibri" w:eastAsia="Calibri" w:hAnsi="Calibri"/>
          <w:sz w:val="2"/>
          <w:szCs w:val="2"/>
        </w:rPr>
      </w:pPr>
      <w:r>
        <w:drawing>
          <wp:inline distT="0" distB="0" distL="0" distR="0">
            <wp:extent cx="6838950" cy="1076325"/>
            <wp:effectExtent t="0" r="0" b="0" l="0"/>
            <wp:docPr id="9576" name="Kurbitsslingan 3576" descr="Kurbitssling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7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772"/>
      </w:tblGrid>
      <w:tr>
        <w:tc>
          <w:tcPr>
            <w:tcW w:type="dxa" w:w="10772"/>
            <w:tcBorders>
              <w:top w:val="single" w:color="8C2A1E" w:sz="12"/>
              <w:left w:val="single" w:color="8C2A1E" w:sz="12"/>
              <w:bottom w:val="single" w:color="8C2A1E" w:sz="12"/>
              <w:right w:val="single" w:color="8C2A1E" w:sz="12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10652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652"/>
            </w:tblGrid>
            <w:tr>
              <w:tc>
                <w:tcPr>
                  <w:tcW w:type="dxa" w:w="10652"/>
                  <w:tcBorders>
                    <w:top w:val="single" w:color="B07A22" w:sz="6"/>
                    <w:left w:val="single" w:color="B07A22" w:sz="6"/>
                    <w:bottom w:val="single" w:color="B07A22" w:sz="6"/>
                    <w:right w:val="single" w:color="B07A22" w:sz="6"/>
                  </w:tcBorders>
                  <w:tcMar>
                    <w:top w:type="dxa" w:w="0"/>
                    <w:left w:type="dxa" w:w="220"/>
                    <w:bottom w:type="dxa" w:w="0"/>
                    <w:right w:type="dxa" w:w="220"/>
                  </w:tcMar>
                </w:tcPr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tbl>
                  <w:tblPr>
                    <w:tblW w:type="dxa" w:w="10212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2490"/>
                    <w:gridCol w:w="7722"/>
                  </w:tblGrid>
                  <w:tr>
                    <w:trPr>
                      <w:cantSplit/>
                      <w:trHeight w:val="675" w:hRule="exact"/>
                    </w:trPr>
                    <w:tc>
                      <w:tcPr>
                        <w:tcW w:type="dxa" w:w="249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15"/>
                          <w:right w:type="dxa" w:w="8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</w:pPr>
                        <w:r>
                          <w:rPr>
                            <w:rFonts w:ascii="Andika" w:cs="Andika" w:eastAsia="Andika" w:hAnsi="Andika"/>
                            <w:color w:val="8C2A1E"/>
                            <w:sz w:val="28"/>
                            <w:szCs w:val="28"/>
                          </w:rPr>
                          <w:t xml:space="preserve">Berättelsens titel</w:t>
                        </w:r>
                      </w:p>
                    </w:tc>
                    <w:tc>
                      <w:tcPr>
                        <w:tcW w:type="dxa" w:w="772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70" w:hRule="exact"/>
                    </w:trPr>
                    <w:tc>
                      <w:tcPr>
                        <w:tcW w:type="dxa" w:w="249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15"/>
                          <w:right w:type="dxa" w:w="8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</w:pPr>
                        <w:r>
                          <w:rPr>
                            <w:rFonts w:ascii="Andika" w:cs="Andika" w:eastAsia="Andika" w:hAnsi="Andika"/>
                            <w:color w:val="8C2A1E"/>
                            <w:sz w:val="28"/>
                            <w:szCs w:val="28"/>
                          </w:rPr>
                          <w:t xml:space="preserve">Till lag</w:t>
                        </w:r>
                      </w:p>
                    </w:tc>
                    <w:tc>
                      <w:tcPr>
                        <w:tcW w:type="dxa" w:w="772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</w:tbl>
                <w:p>
                  <w:pPr>
                    <w:spacing w:after="9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tbl>
                  <w:tblPr>
                    <w:tblW w:type="dxa" w:w="10212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10212"/>
                  </w:tblGrid>
                  <w:tr>
                    <w:trPr>
                      <w:cantSplit/>
                      <w:trHeight w:val="3210" w:hRule="exact"/>
                    </w:trPr>
                    <w:tc>
                      <w:tcPr>
                        <w:tcW w:type="dxa" w:w="10212"/>
                        <w:tcBorders>
                          <w:top w:val="single" w:color="B07A22" w:sz="8"/>
                          <w:left w:val="single" w:color="B07A22" w:sz="8"/>
                          <w:bottom w:val="single" w:color="B07A22" w:sz="8"/>
                          <w:right w:val="single" w:color="B07A22" w:sz="8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80"/>
                        </w:tcMar>
                      </w:tcPr>
                      <w:p>
                        <w:pPr>
                          <w:spacing w:after="0" w:before="0" w:line="240"/>
                        </w:pPr>
                        <w:r>
                          <w:rPr>
                            <w:rFonts w:ascii="Andika" w:cs="Andika" w:eastAsia="Andika" w:hAnsi="Andika"/>
                            <w:color w:val="9C8B7B"/>
                            <w:sz w:val="24"/>
                            <w:szCs w:val="24"/>
                          </w:rPr>
                          <w:t xml:space="preserve">Rita</w:t>
                        </w:r>
                      </w:p>
                    </w:tc>
                  </w:tr>
                </w:tbl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tbl>
                  <w:tblPr>
                    <w:tblW w:type="dxa" w:w="10212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1140"/>
                    <w:gridCol w:w="9072"/>
                  </w:tblGrid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140"/>
                        <w:vMerge w:val="restart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 w:line="240"/>
                          <w:jc w:val="left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drawing>
                            <wp:inline distT="0" distB="0" distL="0" distR="0">
                              <wp:extent cx="666750" cy="666750"/>
                              <wp:effectExtent t="0" r="0" b="0" l="0"/>
                              <wp:docPr id="9575" name="En ruta för den första bokstaven 3575" descr="En ruta för den första bokstaven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>
                                        <a:extLst>
                                          <a:ext uri="{96DAC541-7B7A-43D3-8B79-37D633B846F1}">
                                            <asvg:svgBlip xmlns:asvg="http://schemas.microsoft.com/office/drawing/2016/SVG/main" r:embed="rId13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66750" cy="6667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907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vMerge w:val="continue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</w:tcPr>
                      <w:p/>
                    </w:tc>
                    <w:tc>
                      <w:tcPr>
                        <w:tcW w:type="dxa" w:w="907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</w:tbl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jc w:val="center"/>
        <w:rPr>
          <w:rFonts w:ascii="Calibri" w:cs="Calibri" w:eastAsia="Calibri" w:hAnsi="Calibri"/>
          <w:sz w:val="2"/>
          <w:szCs w:val="2"/>
        </w:rPr>
      </w:pPr>
      <w:r>
        <w:drawing>
          <wp:inline distT="0" distB="0" distL="0" distR="0">
            <wp:extent cx="3962400" cy="400050"/>
            <wp:effectExtent t="0" r="0" b="0" l="0"/>
            <wp:docPr id="9577" name="Prydnaden 3577" descr="Prydnad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>
                      <a:extLs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9"/>
      <w:footerReference w:type="default" r:id="rId10"/>
      <w:pgSz w:w="11906" w:h="16838" w:orient="portrait"/>
      <w:pgMar w:top="567" w:right="567" w:bottom="567" w:left="567" w:header="280" w:footer="280" w:gutter="0"/>
      <w:pgNumType w:start="1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a6c4b78c-0011-0250-9183-ecb967996aca}"/>
  </w:font>
  <w:font w:name="Cinzel">
    <w:family w:val="auto"/>
    <w:pitch w:val="variable"/>
    <w:sig w:usb0="E0002AFF" w:usb1="C000247B" w:usb2="00000009" w:usb3="00000000" w:csb0="000001FF" w:csb1="00000000"/>
    <w:embedRegular r:id="rId2" w:fontKey="{bce26a60-e274-27b0-b64d-d5e541195215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e3e4fd2c-2a69-6e9b-33fd-9d39398ab1d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niclasfohlin.se/stodundervisning/skrivkurs-vardeskapande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772"/>
      </w:tabs>
      <w:spacing w:after="0"/>
    </w:pPr>
    <w:r>
      <w:rPr>
        <w:rFonts w:ascii="Arial" w:cs="Arial" w:eastAsia="Arial" w:hAnsi="Arial"/>
        <w:color w:val="8A8177"/>
        <w:sz w:val="13"/>
        <w:szCs w:val="13"/>
      </w:rPr>
      <w:t xml:space="preserve">Berättelsen, Skattjakten vecka 4: Till laget. Till läraren: En per elev, renskriven i vecka 4. Blir berättelsen lång, fortsätter den på baksidan. Är läsarna blivande sjuor, handlar berättelsen i stället om elevens första dag här, och den är sann.</w:t>
    </w:r>
    <w:r>
      <w:rPr>
        <w:rFonts w:ascii="Arial" w:cs="Arial" w:eastAsia="Arial" w:hAnsi="Arial"/>
        <w:sz w:val="18"/>
        <w:szCs w:val="18"/>
      </w:rPr>
      <w:tab/>
    </w:r>
    <w:r>
      <w:rPr>
        <w:rFonts w:ascii="Arial" w:cs="Arial" w:eastAsia="Arial" w:hAnsi="Arial"/>
        <w:color w:val="555555"/>
        <w:sz w:val="18"/>
        <w:szCs w:val="18"/>
      </w:rPr>
      <w:t xml:space="preserve">s. </w:t>
    </w:r>
    <w:r>
      <w:rPr>
        <w:rFonts w:ascii="Arial" w:cs="Arial" w:eastAsia="Arial" w:hAnsi="Arial"/>
        <w:color w:val="555555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Skrivkurs: värdeskapande skrivande · niclasfohlin.se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Arial" w:cs="Arial" w:eastAsia="Arial" w:hAnsi="Arial"/>
        <w:color w:val="8A8177"/>
        <w:sz w:val="15"/>
        <w:szCs w:val="15"/>
      </w:rPr>
      <w:t xml:space="preserve">© Niclas Fohlin · niclasfohlin.se/stodundervisning/skrivkurs-vardeskapande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image" Target="media/3c1bc728804ba2dbb6dbf0b1aaa48877d058554c.svg"/><Relationship Id="rId12" Type="http://schemas.openxmlformats.org/officeDocument/2006/relationships/image" Target="media/f9fecfc9ff68d76009dd1a7f584fa1ef97cf92fa.png"/><Relationship Id="rId13" Type="http://schemas.openxmlformats.org/officeDocument/2006/relationships/image" Target="media/e56627667df44582ff4d969c6c277a7be4ccf5b9.svg"/><Relationship Id="rId14" Type="http://schemas.openxmlformats.org/officeDocument/2006/relationships/image" Target="media/317e142fa710eca493c4c1c806a2ea5e38a1664b.png"/><Relationship Id="rId15" Type="http://schemas.openxmlformats.org/officeDocument/2006/relationships/image" Target="media/f3ada7caa55eaec08a57035133dbcd7ea6f27337.svg"/><Relationship Id="rId16" Type="http://schemas.openxmlformats.org/officeDocument/2006/relationships/image" Target="media/a4f4331fc43ed7a9b7a10aeaf8514a33e456eb10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Berättelsen, Skattjakten vecka 4: Till laget · Skrivkurs: värdeskapande skrivande</dc:title>
  <dc:creator>Niclas Fohlin</dc:creator>
  <dc:description>© Niclas Fohlin · niclasfohlin.se</dc:description>
  <cp:lastModifiedBy>Un-named</cp:lastModifiedBy>
  <cp:revision>1</cp:revision>
  <dcterms:created xsi:type="dcterms:W3CDTF">2026-10-29T11:58:16.980Z</dcterms:created>
  <dcterms:modified xsi:type="dcterms:W3CDTF">2026-10-29T11:58:16.980Z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