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rPr>
          <w:cantSplit/>
          <w:trHeight w:val="7545" w:hRule="exact"/>
        </w:trPr>
        <w:tc>
          <w:tcPr>
            <w:tcW w:type="dxa" w:w="10772"/>
            <w:tcBorders>
              <w:top w:val="dashed" w:color="777777" w:sz="6"/>
              <w:left w:val="dashed" w:color="777777" w:sz="6"/>
              <w:bottom w:val="dashed" w:color="777777" w:sz="6"/>
              <w:right w:val="dashed" w:color="777777" w:sz="6"/>
            </w:tcBorders>
            <w:tcMar>
              <w:top w:type="dxa" w:w="0"/>
              <w:left w:type="dxa" w:w="200"/>
              <w:bottom w:type="dxa" w:w="15"/>
              <w:right w:type="dxa" w:w="200"/>
            </w:tcMar>
          </w:tcPr>
          <w:p>
            <w:pPr>
              <w:spacing w:after="0" w:before="0" w:line="240"/>
              <w:jc w:val="center"/>
              <w:rPr>
                <w:rFonts w:ascii="Calibri" w:cs="Calibri" w:eastAsia="Calibri" w:hAnsi="Calibri"/>
                <w:sz w:val="2"/>
                <w:szCs w:val="2"/>
              </w:rPr>
            </w:pPr>
            <w:r>
              <w:drawing>
                <wp:inline distT="0" distB="0" distL="0" distR="0">
                  <wp:extent cx="4324350" cy="723900"/>
                  <wp:effectExtent t="0" r="0" b="0" l="0"/>
                  <wp:docPr id="9601" name="Kurbitsslingan 3601" descr="Kurbitssling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43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60" w:line="240"/>
              <w:jc w:val="center"/>
            </w:pPr>
            <w:r>
              <w:rPr>
                <w:rFonts w:ascii="Cinzel" w:cs="Cinzel" w:eastAsia="Cinzel" w:hAnsi="Cinzel"/>
                <w:color w:val="3A2D24"/>
                <w:sz w:val="36"/>
                <w:szCs w:val="36"/>
              </w:rPr>
              <w:t xml:space="preserve">Frågebanken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1.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Vad får texten mig att känna, undra eller förstå?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2.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Hur börjar texten, hur hänger delarna ihop, hur slutar den?</w:t>
            </w:r>
          </w:p>
          <w:p>
            <w:pPr>
              <w:tabs>
                <w:tab w:val="left" w:pos="960"/>
              </w:tabs>
              <w:spacing w:after="180" w:before="0" w:line="240"/>
              <w:ind w:left="960" w:right="400" w:hanging="520"/>
            </w:pPr>
            <w:r>
              <w:rPr>
                <w:rFonts w:ascii="Cinzel" w:cs="Cinzel" w:eastAsia="Cinzel" w:hAnsi="Cinzel"/>
                <w:color w:val="8C2A1E"/>
                <w:sz w:val="34"/>
                <w:szCs w:val="34"/>
              </w:rPr>
              <w:t xml:space="preserve">3.</w:t>
            </w:r>
            <w:r>
              <w:rPr>
                <w:sz w:val="34"/>
                <w:szCs w:val="34"/>
              </w:rPr>
              <w:tab/>
            </w:r>
            <w:r>
              <w:rPr>
                <w:rFonts w:ascii="Andika" w:cs="Andika" w:eastAsia="Andika" w:hAnsi="Andika"/>
                <w:color w:val="2B2622"/>
                <w:sz w:val="34"/>
                <w:szCs w:val="34"/>
              </w:rPr>
              <w:t xml:space="preserve">Vilka ord och meningar gör skillnad?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35d070d-6d15-f7a4-071f-38ff72d295d1}"/>
  </w:font>
  <w:font w:name="Cinzel">
    <w:family w:val="auto"/>
    <w:pitch w:val="variable"/>
    <w:sig w:usb0="E0002AFF" w:usb1="C000247B" w:usb2="00000009" w:usb3="00000000" w:csb0="000001FF" w:csb1="00000000"/>
    <w:embedRegular r:id="rId2" w:fontKey="{47133b04-9342-c14f-29f8-fc4931e88a0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c0f8b43-9086-5391-d0b8-b94e56c09e5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Skriv ut ett kort per par. Frågorna gäller effekt, struktur och språk. Kortet ligger framme i varje pass, och ni använder frågorna om och om igen när ni läser mentortexten.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1e184b9c3b112e9eb01846349d53b89c6d4d366.svg"/><Relationship Id="rId10" Type="http://schemas.openxmlformats.org/officeDocument/2006/relationships/image" Target="media/e49f234f21afd8f1f49c1bad544548d4a533109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Frågebanken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2026-10-29T11:58:17.576Z</dcterms:created>
  <dcterms:modified xsi:type="dcterms:W3CDTF">2026-10-29T11:58:17.576Z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