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  <w:r>
        <w:rPr>
          <w:rFonts w:ascii="Calibri" w:cs="Calibri" w:eastAsia="Calibri" w:hAnsi="Calibri"/>
          <w:sz w:val="2"/>
          <w:szCs w:val="2"/>
        </w:rPr>
        <w:t xml:space="preserve"/>
      </w:r>
    </w:p>
    <w:tbl>
      <w:tblPr>
        <w:tblW w:type="dxa" w:w="10206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206"/>
      </w:tblGrid>
      <w:tr>
        <w:tc>
          <w:tcPr>
            <w:tcW w:type="dxa" w:w="10206"/>
            <w:tcBorders>
              <w:top w:val="single" w:color="4B3A2F" w:sz="12"/>
              <w:left w:val="single" w:color="4B3A2F" w:sz="12"/>
              <w:bottom w:val="single" w:color="4B3A2F" w:sz="12"/>
              <w:right w:val="single" w:color="4B3A2F" w:sz="12"/>
            </w:tcBorders>
            <w:tcMar>
              <w:top w:type="dxa" w:w="30"/>
              <w:left w:type="dxa" w:w="30"/>
              <w:bottom w:type="dxa" w:w="30"/>
              <w:right w:type="dxa" w:w="30"/>
            </w:tcMar>
          </w:tcPr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  <w:tbl>
            <w:tblPr>
              <w:tblW w:type="dxa" w:w="10146"/>
              <w:tblBorders>
                <w:top w:val="none" w:color="auto" w:sz="0"/>
                <w:left w:val="none" w:color="auto" w:sz="0"/>
                <w:bottom w:val="none" w:color="auto" w:sz="0"/>
                <w:right w:val="none" w:color="auto" w:sz="0"/>
                <w:insideH w:val="none" w:color="auto" w:sz="0"/>
                <w:insideV w:val="none" w:color="auto" w:sz="0"/>
              </w:tblBorders>
              <w:tblLayout w:type="fixed"/>
            </w:tblPr>
            <w:tblGrid>
              <w:gridCol w:w="1830"/>
              <w:gridCol w:w="8316"/>
            </w:tblGrid>
            <w:tr>
              <w:tc>
                <w:tcPr>
                  <w:tcW w:type="dxa" w:w="10146"/>
                  <w:gridSpan w:val="2"/>
                  <w:tcBorders>
                    <w:top w:val="single" w:color="4B3A2F" w:sz="12"/>
                    <w:left w:val="single" w:color="4B3A2F" w:sz="12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60" w:before="200" w:line="240"/>
                    <w:ind w:left="975" w:right="975"/>
                    <w:jc w:val="center"/>
                    <w:outlineLvl w:val="1"/>
                  </w:pPr>
                  <w:r>
                    <w:rPr>
                      <w:rFonts w:ascii="Cinzel" w:cs="Cinzel" w:eastAsia="Cinzel" w:hAnsi="Cinzel"/>
                      <w:color w:val="3A2D24"/>
                      <w:sz w:val="54"/>
                      <w:szCs w:val="54"/>
                    </w:rPr>
                    <w:t xml:space="preserve">Blöt sadel igen?</w:t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0" w:before="0" w:line="240"/>
                    <w:ind w:left="4073" w:right="407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pBdr>
                      <w:bottom w:val="single" w:color="8C2A1E" w:sz="6" w:space="0"/>
                    </w:pBdr>
                    <w:spacing w:after="300" w:before="0" w:line="147"/>
                    <w:ind w:left="4088" w:right="4088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</w:tc>
            </w:tr>
            <w:tr>
              <w:trPr>
                <w:trHeight w:val="810" w:hRule="exact"/>
              </w:trPr>
              <w:tc>
                <w:tcPr>
                  <w:tcW w:type="dxa" w:w="1830"/>
                  <w:tcBorders>
                    <w:top w:val="none" w:color="auto" w:sz="0"/>
                    <w:left w:val="single" w:color="4B3A2F" w:sz="12"/>
                    <w:bottom w:val="none" w:color="auto" w:sz="0"/>
                    <w:right w:val="none" w:color="auto" w:sz="0"/>
                  </w:tcBorders>
                  <w:tcMar>
                    <w:top w:type="dxa" w:w="0"/>
                    <w:left w:type="dxa" w:w="975"/>
                    <w:bottom w:type="dxa" w:w="0"/>
                    <w:right w:type="dxa" w:w="0"/>
                  </w:tcMar>
                </w:tcPr>
                <w:p>
                  <w:pPr>
                    <w:spacing w:after="0" w:before="0" w:line="178"/>
                  </w:pPr>
                  <w:r>
                    <w:rPr>
                      <w:rFonts w:ascii="Cinzel Decorative" w:cs="Cinzel Decorative" w:eastAsia="Cinzel Decorative" w:hAnsi="Cinzel Decorative"/>
                      <w:b/>
                      <w:bCs/>
                      <w:color w:val="8C2A1E"/>
                      <w:sz w:val="86"/>
                      <w:szCs w:val="86"/>
                    </w:rPr>
                    <w:t xml:space="preserve">D</w:t>
                  </w:r>
                </w:p>
              </w:tc>
              <w:tc>
                <w:tcPr>
                  <w:tcW w:type="dxa" w:w="8316"/>
                  <w:tcBorders>
                    <w:top w:val="none" w:color="auto" w:sz="0"/>
                    <w:left w:val="none" w:color="auto" w:sz="0"/>
                    <w:bottom w:val="none" w:color="auto" w:sz="0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975"/>
                  </w:tcMar>
                </w:tcPr>
                <w:p>
                  <w:pPr>
                    <w:spacing w:after="0" w:before="0" w:line="230"/>
                    <w:ind w:left="0" w:right="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et har regnat hela dagen. Du springer ut till cykeln, sätter dig och känner hur byxorna blir blöta. Så var det tre dagar</w:t>
                  </w:r>
                </w:p>
              </w:tc>
            </w:tr>
            <w:tr>
              <w:trPr>
                <w:trHeight w:val="12435" w:hRule="atLeast"/>
              </w:trPr>
              <w:tc>
                <w:tcPr>
                  <w:tcW w:type="dxa" w:w="10146"/>
                  <w:gridSpan w:val="2"/>
                  <w:tcBorders>
                    <w:top w:val="none" w:color="auto" w:sz="0"/>
                    <w:left w:val="single" w:color="4B3A2F" w:sz="12"/>
                    <w:bottom w:val="single" w:color="4B3A2F" w:sz="12"/>
                    <w:right w:val="single" w:color="4B3A2F" w:sz="12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i förra veckan.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Vi tycker att cykelstället vid matsalen ska få ett tak.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Då slipper du cykla hem i blöta byxor. Du slipper också torka av sadeln med jackärmen.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Fler skulle cykla till skolan om cykeln stod torrt. Vi frågade tjugo elever i femman, och tolv av dem låter cykeln stå hemma när det ser ut att bli regn.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Någon tycker kanske att ett tak kostar för mycket. Men vi har frågat vaktmästaren Jonas, och han säger att ett enkelt tak inte kostar mycket.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Jonas har lovat att fråga rektorn. Skriv ditt namn på listan i matsalen, så ser rektorn att vi är många.</w:t>
                  </w:r>
                </w:p>
                <w:p>
                  <w:pPr>
                    <w:spacing w:after="150" w:before="0" w:line="230"/>
                    <w:ind w:left="975" w:right="975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Elin och Samir, 5B</w:t>
                  </w:r>
                </w:p>
                <w:p>
                  <w:pPr>
                    <w:pBdr>
                      <w:bottom w:val="single" w:color="B9A894" w:sz="4" w:space="1"/>
                    </w:pBdr>
                    <w:spacing w:after="300" w:before="100" w:line="240"/>
                    <w:ind w:left="4623" w:right="4623"/>
                    <w:rPr>
                      <w:rFonts w:ascii="Calibri" w:cs="Calibri" w:eastAsia="Calibri" w:hAnsi="Calibri"/>
                      <w:sz w:val="2"/>
                      <w:szCs w:val="2"/>
                    </w:rPr>
                  </w:pPr>
                  <w:r>
                    <w:rPr>
                      <w:rFonts w:ascii="Calibri" w:cs="Calibri" w:eastAsia="Calibri" w:hAnsi="Calibri"/>
                      <w:sz w:val="2"/>
                      <w:szCs w:val="2"/>
                    </w:rPr>
                    <w:t xml:space="preserve"/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1.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Vem ska läsa den här texten? Hur märker du det?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2.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Vad står först här? Vad stod först i brevet till Jonas?</w:t>
                  </w:r>
                </w:p>
                <w:p>
                  <w:pPr>
                    <w:keepNext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3.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Någon kan säga emot. Var svarar Elin och Samir på det?</w:t>
                  </w:r>
                </w:p>
                <w:p>
                  <w:pPr>
                    <w:keepNext w:val="false"/>
                    <w:keepLines/>
                    <w:tabs>
                      <w:tab w:val="left" w:pos="1455"/>
                    </w:tabs>
                    <w:spacing w:after="110" w:line="230"/>
                    <w:ind w:left="1455" w:right="975" w:hanging="480"/>
                  </w:pP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4.</w:t>
                  </w:r>
                  <w:r>
                    <w:rPr>
                      <w:sz w:val="26"/>
                      <w:szCs w:val="26"/>
                    </w:rPr>
                    <w:tab/>
                  </w:r>
                  <w:r>
                    <w:rPr>
                      <w:rFonts w:ascii="Andika" w:cs="Andika" w:eastAsia="Andika" w:hAnsi="Andika"/>
                      <w:color w:val="2B2622"/>
                      <w:sz w:val="26"/>
                      <w:szCs w:val="26"/>
                    </w:rPr>
                    <w:t xml:space="preserve">Båda är argumenterande texter. Vad har båda?</w:t>
                  </w:r>
                </w:p>
              </w:tc>
            </w:tr>
          </w:tbl>
          <w:p>
            <w:pPr>
              <w:spacing w:after="0" w:before="0" w:line="30"/>
              <w:rPr>
                <w:rFonts w:ascii="Calibri" w:cs="Calibri" w:eastAsia="Calibri" w:hAnsi="Calibri"/>
                <w:sz w:val="2"/>
                <w:szCs w:val="2"/>
              </w:rPr>
            </w:pPr>
            <w:r>
              <w:rPr>
                <w:rFonts w:ascii="Calibri" w:cs="Calibri" w:eastAsia="Calibri" w:hAnsi="Calibri"/>
                <w:sz w:val="2"/>
                <w:szCs w:val="2"/>
              </w:rPr>
              <w:t xml:space="preserve"/>
            </w:r>
          </w:p>
        </w:tc>
      </w:tr>
    </w:tbl>
    <w:p>
      <w:pPr>
        <w:spacing w:after="0" w:before="0" w:line="240"/>
        <w:rPr>
          <w:rFonts w:ascii="Calibri" w:cs="Calibri" w:eastAsia="Calibri" w:hAnsi="Calibri"/>
          <w:sz w:val="2"/>
          <w:szCs w:val="2"/>
        </w:rPr>
      </w:pPr>
    </w:p>
    <w:sectPr>
      <w:headerReference w:type="default" r:id="rId7"/>
      <w:footerReference w:type="default" r:id="rId8"/>
      <w:pgSz w:w="11906" w:h="16838" w:orient="portrait"/>
      <w:pgMar w:top="850" w:right="850" w:bottom="850" w:left="850" w:header="400" w:footer="454" w:gutter="0"/>
      <w:pgNumType w:start="1"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ndika">
    <w:family w:val="auto"/>
    <w:pitch w:val="variable"/>
    <w:sig w:usb0="E0002AFF" w:usb1="C000247B" w:usb2="00000009" w:usb3="00000000" w:csb0="000001FF" w:csb1="00000000"/>
    <w:embedRegular r:id="rId1" w:fontKey="{297ee858-2cda-089b-3645-06073901ddd0}"/>
  </w:font>
  <w:font w:name="Cinzel">
    <w:family w:val="auto"/>
    <w:pitch w:val="variable"/>
    <w:sig w:usb0="E0002AFF" w:usb1="C000247B" w:usb2="00000009" w:usb3="00000000" w:csb0="000001FF" w:csb1="00000000"/>
    <w:embedRegular r:id="rId2" w:fontKey="{260c93c6-ee3b-28ea-5138-e46c87a67147}"/>
  </w:font>
  <w:font w:name="Cinzel Decorative">
    <w:family w:val="auto"/>
    <w:pitch w:val="variable"/>
    <w:sig w:usb0="E0002AFF" w:usb1="C000247B" w:usb2="00000009" w:usb3="00000000" w:csb0="000001FF" w:csb1="00000000"/>
    <w:embedRegular r:id="rId3" w:fontKey="{52a37a3b-102d-7796-10d7-a5713221c90a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206"/>
      </w:tabs>
      <w:spacing w:after="0"/>
    </w:pPr>
    <w:r>
      <w:rPr>
        <w:rFonts w:ascii="Arial" w:cs="Arial" w:eastAsia="Arial" w:hAnsi="Arial"/>
        <w:color w:val="8A8177"/>
        <w:sz w:val="13"/>
        <w:szCs w:val="13"/>
      </w:rPr>
      <w:t xml:space="preserve">Till läraren · Pass 11: Texten har samma ärende som brevet till Jonas, men den är skriven till eleverna på skolan. Läs den högt. I åk 6–⁠7 visar du det femte stycket redan i pass 9.</w:t>
    </w:r>
    <w:r>
      <w:rPr>
        <w:rFonts w:ascii="Arial" w:cs="Arial" w:eastAsia="Arial" w:hAnsi="Arial"/>
        <w:sz w:val="18"/>
        <w:szCs w:val="18"/>
      </w:rPr>
      <w:tab/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MENTORTEXT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·  </w:t>
    </w:r>
    <w:r>
      <w:rPr>
        <w:rFonts w:ascii="Cinzel" w:cs="Cinzel" w:eastAsia="Cinzel" w:hAnsi="Cinzel"/>
        <w:color w:val="FFFFFF"/>
        <w:sz w:val="17"/>
        <w:szCs w:val="17"/>
        <w:shd w:fill="4E7A43" w:color="auto" w:val="clear"/>
      </w:rPr>
      <w:t xml:space="preserve">vecka 6</w:t>
    </w:r>
    <w:r>
      <w:rPr>
        <w:rFonts w:ascii="Cinzel" w:cs="Cinzel" w:eastAsia="Cinzel" w:hAnsi="Cinzel"/>
        <w:color w:val="FFFFFF"/>
        <w:sz w:val="19"/>
        <w:szCs w:val="19"/>
        <w:shd w:fill="4E7A43" w:color="auto" w:val="clear"/>
      </w:rPr>
      <w:t xml:space="preserve">  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spacing w:after="0"/>
      <w:jc w:val="right"/>
    </w:pPr>
    <w:r>
      <w:rPr>
        <w:rFonts w:ascii="Arial" w:cs="Arial" w:eastAsia="Arial" w:hAnsi="Arial"/>
        <w:color w:val="8A8177"/>
        <w:sz w:val="15"/>
        <w:szCs w:val="15"/>
      </w:rPr>
      <w:t xml:space="preserve">© Niclas Fohlin · niclasfohlin.se/stodundervisning/texttyp-argumenterande-text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540" w:hanging="360"/>
      </w:pPr>
      <w:rPr>
        <w:b/>
        <w:bCs/>
        <w:color w:val="1D4F91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202B"/>
        <w:sz w:val="22"/>
        <w:szCs w:val="22"/>
        <w:lang w:val="sv-SE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keepNext/>
      <w:spacing w:after="80" w:before="0"/>
      <w:outlineLvl w:val="0"/>
    </w:pPr>
    <w:rPr>
      <w:rFonts w:ascii="Calibri" w:cs="Calibri" w:eastAsia="Calibri" w:hAnsi="Calibri"/>
      <w:b/>
      <w:bCs/>
      <w:color w:val="1D4F91"/>
      <w:sz w:val="44"/>
      <w:szCs w:val="44"/>
    </w:rPr>
  </w:style>
  <w:style w:type="paragraph" w:styleId="Heading2">
    <w:name w:val="Heading 2"/>
    <w:basedOn w:val="Normal"/>
    <w:next w:val="Normal"/>
    <w:qFormat/>
    <w:pPr>
      <w:keepNext/>
      <w:spacing w:after="100" w:before="320"/>
      <w:outlineLvl w:val="1"/>
    </w:pPr>
    <w:rPr>
      <w:rFonts w:ascii="Calibri" w:cs="Calibri" w:eastAsia="Calibri" w:hAnsi="Calibri"/>
      <w:b/>
      <w:bCs/>
      <w:color w:val="1D4F91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spacing w:after="80" w:before="200"/>
      <w:outlineLvl w:val="2"/>
    </w:pPr>
    <w:rPr>
      <w:rFonts w:ascii="Calibri" w:cs="Calibri" w:eastAsia="Calibri" w:hAnsi="Calibri"/>
      <w:b/>
      <w:bCs/>
      <w:color w:val="1D4F91"/>
      <w:sz w:val="24"/>
      <w:szCs w:val="24"/>
    </w:rPr>
  </w:style>
  <w:style w:type="paragraph" w:styleId="Heading4">
    <w:name w:val="Heading 4"/>
    <w:basedOn w:val="Normal"/>
    <w:next w:val="Normal"/>
    <w:qFormat/>
    <w:pPr>
      <w:keepNext/>
      <w:spacing w:after="60" w:before="120"/>
      <w:outlineLvl w:val="3"/>
    </w:pPr>
    <w:rPr>
      <w:rFonts w:ascii="Calibri" w:cs="Calibri" w:eastAsia="Calibri" w:hAnsi="Calibri"/>
      <w:b/>
      <w:bCs/>
      <w:i w:val="false"/>
      <w:iCs w:val="false"/>
      <w:caps/>
      <w:color w:val="1D4F91"/>
      <w:sz w:val="16"/>
      <w:szCs w:val="16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/Relationships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Mentortext, vecka 6: Blöt sadel igen? · Texttyp: Argumenterande text</dc:title>
  <dc:creator>Niclas Fohlin</dc:creator>
  <dc:description>© Niclas Fohlin · niclasfohlin.se</dc:description>
  <cp:lastModifiedBy>Un-named</cp:lastModifiedBy>
  <cp:revision>1</cp:revision>
  <dcterms:created xsi:type="dcterms:W3CDTF">2026-10-29T11:58:25.228Z</dcterms:created>
  <dcterms:modified xsi:type="dcterms:W3CDTF">2026-10-29T11:58:25.228Z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